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3521400</wp:posOffset>
            </wp:positionH>
            <wp:positionV relativeFrom="paragraph">
              <wp:posOffset>142875</wp:posOffset>
            </wp:positionV>
            <wp:extent cx="2209800" cy="409575"/>
            <wp:effectExtent b="0" l="0" r="0" t="0"/>
            <wp:wrapSquare wrapText="bothSides" distB="114300" distT="114300" distL="114300" distR="1143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Есть ли в России спрос на «зеленое» строительство? </w:t>
      </w:r>
    </w:p>
    <w:p w:rsidR="00000000" w:rsidDel="00000000" w:rsidP="00000000" w:rsidRDefault="00000000" w:rsidRPr="00000000" w14:paraId="00000007">
      <w:pPr>
        <w:spacing w:line="30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42% россиян признали, что на фоне событий последнего года квартиры в домах с экосертификатом стали для них слишком дорогими</w:t>
      </w:r>
    </w:p>
    <w:p w:rsidR="00000000" w:rsidDel="00000000" w:rsidP="00000000" w:rsidRDefault="00000000" w:rsidRPr="00000000" w14:paraId="00000008">
      <w:pPr>
        <w:spacing w:line="30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В сентябре 2022 года в России утвердили «зеленый» стандарт для многоквартирного жилья, который начнет действовать уже с 1 ноября этого года. Здания, признанные «зелеными» по критериям этого стандарта, получат соответствующий сертификат. Как россияне относятся к инициативе, хотят ли жить в домах с экосертификатом и какие из характеристик «зеленого» строительства считают наиболее привлекательными, выяснили специалисты ROCKWOOL Россия в ходе исследования</w:t>
      </w:r>
      <w:r w:rsidDel="00000000" w:rsidR="00000000" w:rsidRPr="00000000">
        <w:rPr>
          <w:i w:val="1"/>
          <w:sz w:val="18"/>
          <w:szCs w:val="18"/>
          <w:rtl w:val="0"/>
        </w:rPr>
        <w:t xml:space="preserve">*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0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Согласно опросу, сегодня 27% россиян попросту не знают, что такое «зеленое» строительство. Еще 21% опрошенных рассказали, что слышали о таких технологиях, но не учитывали их при покупке жилья, а 16% не знали, что существует экологическая сертификация зданий. Кроме того, 8% респондентов знакомы с самой идеей, но никогда не встречали «зеленые» дома в России. </w:t>
      </w:r>
      <w:r w:rsidDel="00000000" w:rsidR="00000000" w:rsidRPr="00000000">
        <w:rPr>
          <w:b w:val="1"/>
          <w:i w:val="1"/>
          <w:rtl w:val="0"/>
        </w:rPr>
        <w:t xml:space="preserve">И лишь 3% обращают внимание на наличие экосертификата при покупке недвижимости. </w:t>
      </w:r>
    </w:p>
    <w:p w:rsidR="00000000" w:rsidDel="00000000" w:rsidP="00000000" w:rsidRDefault="00000000" w:rsidRPr="00000000" w14:paraId="0000000C">
      <w:pPr>
        <w:spacing w:line="30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Между тем, в 2022 году переходным критериям «зеленого» ГОСТа соответствуют уже 15% от всех новостроек страны – 4 786 объектов. По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прогнозу </w:t>
        </w:r>
      </w:hyperlink>
      <w:r w:rsidDel="00000000" w:rsidR="00000000" w:rsidRPr="00000000">
        <w:rPr>
          <w:rtl w:val="0"/>
        </w:rPr>
        <w:t xml:space="preserve">аналитиков, до 2030 года доля экологичных домов увеличится в два раза и составит до 30% от всех новостроек страны. </w:t>
      </w:r>
    </w:p>
    <w:p w:rsidR="00000000" w:rsidDel="00000000" w:rsidP="00000000" w:rsidRDefault="00000000" w:rsidRPr="00000000" w14:paraId="0000000E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О каких критериях идет речь? Под «зеленым» строительством подразумевается технология возведения и эксплуатации зданий с минимальным воздействием на окружающую среду. В идеале строительство таких домов предполагает минимум вредных выбросов и отходов, а их эксплуатация – низкое ресурсопотребление, кроме того они должны обеспечивать высокий уровень комфорта для проживающих. Именно на этих принципах строятся международные стандарты сертификации «зелёных» домов LEED, BREEAM, DGNB, а также российский GREEN ZOOM. В рамках каждого стандарта применяется своя система оценки, обычно она включает применение экологически чистых материалов при строительстве, снижение объемов потребления зданиями энергии и воды, утилизацию бытовых отходов, очистку сточных вод, высокое качество воздуха, использование возобновляемых источников энергии и другие критерии. </w:t>
      </w:r>
    </w:p>
    <w:p w:rsidR="00000000" w:rsidDel="00000000" w:rsidP="00000000" w:rsidRDefault="00000000" w:rsidRPr="00000000" w14:paraId="00000010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Российский «зеленый» стандарт разрабатывался с учетом лучших международных практик, однако, как отмечают эксперты отрасли, пока он значительно мягче мировых, а кроме того – пока не обязателен к исполнению. То есть, застройщик сам принимает решение, проходить «зеленую» сертификацию или нет. </w:t>
      </w:r>
      <w:hyperlink r:id="rId9">
        <w:r w:rsidDel="00000000" w:rsidR="00000000" w:rsidRPr="00000000">
          <w:rPr>
            <w:rtl w:val="0"/>
          </w:rPr>
          <w:t xml:space="preserve">ГОСТ Р 70346-2022</w:t>
        </w:r>
      </w:hyperlink>
      <w:r w:rsidDel="00000000" w:rsidR="00000000" w:rsidRPr="00000000">
        <w:rPr>
          <w:rtl w:val="0"/>
        </w:rPr>
        <w:t xml:space="preserve"> для многоквартирного жилья включает в себя десять категорий, которые позволяют оценить здание с точки зрения архитектуры, планировки участка, организации и управления строительством, комфорта и качества внутренней среды, энергоэффективности и атмосферы, рационального водопользования, материалов и ресурсоэффективности, отходов производства и потребления, экологической безопасности территории и безопасности эксплуатации здания, а также инноваций в сфере устойчивого развития.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Сами россияне среди всех характеристик экодомов на первое место ставят заботу о жителях и инфраструктуру – 32% респондентов назвали этот критерий ключевым. На втором месте – качество воды (22%), на третьем – экологичность окружающей территории (17%). Для 13% опрошенных важно использование экологичных строительных материалов, для 11% – акустический комфорт и отсутствие лишнего шума. И </w:t>
      </w:r>
      <w:r w:rsidDel="00000000" w:rsidR="00000000" w:rsidRPr="00000000">
        <w:rPr>
          <w:b w:val="1"/>
          <w:i w:val="1"/>
          <w:rtl w:val="0"/>
        </w:rPr>
        <w:t xml:space="preserve">только 8% обратили внимание на энергоэффективность и возможность экономии ресурсов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«Зеленые» технологии получили широкое распространение в западных странах еще в 1990-х годах — сказалась высокая стоимость энергоносителей. В России же об этом серьезно заговорили только десять лет назад – на фоне грандиозной олимпийской стройки в Сочи. Таким образом, в нашей стране экостроительство находится лишь на начальном этапе развития. </w:t>
      </w:r>
    </w:p>
    <w:p w:rsidR="00000000" w:rsidDel="00000000" w:rsidP="00000000" w:rsidRDefault="00000000" w:rsidRPr="00000000" w14:paraId="00000016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«В России сертифицированных по «зеленым» стандартам домов пока очень немного. Но у потребителей есть устойчивый интерес к экологичным строительным проектам, который сохраняется даже на фоне событий этого года. Почему? Во-первых, сказывается рост цен на отопление, газ, электричество. Жители частных домов уже давно оценили выгоду от энергоэффективных решений, в том числе, от утепления. Этот тренд распространяется и на многоквартирные здания: как показал наш опрос, </w:t>
      </w:r>
      <w:r w:rsidDel="00000000" w:rsidR="00000000" w:rsidRPr="00000000">
        <w:rPr>
          <w:b w:val="1"/>
          <w:i w:val="1"/>
          <w:rtl w:val="0"/>
        </w:rPr>
        <w:t xml:space="preserve">28% россиян хотели бы жить в доме, который сертифицирован по «зеленому» стандарту</w:t>
      </w:r>
      <w:r w:rsidDel="00000000" w:rsidR="00000000" w:rsidRPr="00000000">
        <w:rPr>
          <w:rtl w:val="0"/>
        </w:rPr>
        <w:t xml:space="preserve">. Во-вторых, меняется сам подход к жилью: все важнее становятся общий комфорт, здоровый микроклимат и качество постройки – все то, что характеризуют экологичные дома. Приобретая «зеленую» недвижимость, человек делает инвестицию с точки зрения и экономии, и уровня жизни», – рассказывает Максим Тарасов, директор по продажам ROCKWOOL Россия. </w:t>
      </w:r>
    </w:p>
    <w:p w:rsidR="00000000" w:rsidDel="00000000" w:rsidP="00000000" w:rsidRDefault="00000000" w:rsidRPr="00000000" w14:paraId="00000018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00" w:lineRule="auto"/>
        <w:jc w:val="both"/>
        <w:rPr/>
      </w:pPr>
      <w:r w:rsidDel="00000000" w:rsidR="00000000" w:rsidRPr="00000000">
        <w:rPr>
          <w:rtl w:val="0"/>
        </w:rPr>
        <w:t xml:space="preserve">Впрочем, несмотря на все преимущества проживания в экологичных домах, далеко не каждый сегодня готов сделать выбор в их пользу. К сожалению, конструкция «зеленого» дома более затратна, что может сказываться на стоимости – а этот критерий остается основным для большинства жителей страны. Не случайно в рамках опроса 42% признались, что на фоне февральских и сентябрьских событий их отношение к «зеленым» домам изменилось – это стало слишком дорого. 3% прямо заявили, что готовы пожертвовать экологичностью ради цены, 4% просто стали обращать меньше внимания на экоматериалы. В то же время, для 9%, наоборот, ценность использования экологичных строительных материалов выросла, а 3% стали больше интересоваться вопросами энергоэффективности. </w:t>
      </w:r>
    </w:p>
    <w:p w:rsidR="00000000" w:rsidDel="00000000" w:rsidP="00000000" w:rsidRDefault="00000000" w:rsidRPr="00000000" w14:paraId="0000001A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целом, выбирая между «зеленым» домом и обычным,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22% россиян решились бы на покупку экожилья только при более низкой стоимости квартиры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15% – при видимой экономии на ЖКУ, 7% – при выраженной разнице в комфорте, 6% – при наличии налоговых льгот, 5% – при возможности оформить льготную ипотеку. При этом для 27% опрошенных ни один из перечисленных факторов не станет поводом купить квартиру в экодоме, но еще столько же придерживаются обратной позиции и рассматривают только «зеленые» дома несмотря ни на что. Важно, что многие из покупателей недвижимости, обращая внимание на цену жилья, не всегда учитывают инвестиционную ценность «зеленых» домов и квартир. Так, вложения в энергоэффективные решения в частных домах по расчётам окупаются за 10 лет. Выгодны и вложения в энергоэффективность многоквартирных домов. Например, в одном из проектов ROCKWOOL Россия утепление труб ГВС на чердаке многоквартирного дома в Ленинградской области окупилось в течение полутора лет.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0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«При проектировании таких зданий застройщики будут уделять особое внимание снижению потребления тепла и электроэнергии. В условиях российского климата это означает тщательную комплексную работу над оснащением здания энергоэффективными стеклопакетами, отопительным оборудованием, автоматизированными системами учета потребления ресурсов, а также теплоизоляцией кровли и фасадов: важно применять энергоэффективные и эстетические материалы. Например, теплопроводность изоляционных плит ROCKWOOL – всего 0,036–0,038 Вт/м*К. Такая плита толщиной 5 см по сохранению тепла сопоставима с кирпичной кладкой толщиной 96 см. Правильная теплоизоляция совместно с инженерным оборудованием сокращает теплопотери и обеспечивает 50-90% потенциала энергосбережения, а также комфортный микроклимат даже в домах с панорамным остеклением», – рассказывает Наталья Пахомова, специалист по технической поддержке и обучению компании ROCKWOOL Россия.</w:t>
      </w:r>
    </w:p>
    <w:p w:rsidR="00000000" w:rsidDel="00000000" w:rsidP="00000000" w:rsidRDefault="00000000" w:rsidRPr="00000000" w14:paraId="0000001E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0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Утверждение «зеленого» стандарта в России назрело давно. Дома, в которых используются энергоэффективные решения, сегодня встречаются все чаще, многие компании начинают производить стройматериалы в соответствии с принципами устойчивого развития. Такой подход важен не только для экологии, но и для повышения общего качества жизни. По мнению экспертов ROCKWOOL, следующим шагом должна стать популяризация идеи «зеленого» строительства среди россиян, в том числе, появление различных льгот при покупке такого жилья. </w:t>
      </w:r>
    </w:p>
    <w:p w:rsidR="00000000" w:rsidDel="00000000" w:rsidP="00000000" w:rsidRDefault="00000000" w:rsidRPr="00000000" w14:paraId="00000020">
      <w:pPr>
        <w:spacing w:line="30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18"/>
          <w:szCs w:val="18"/>
          <w:rtl w:val="0"/>
        </w:rPr>
        <w:t xml:space="preserve">О компании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Подразделение ROCKWOOL Россия входит в Группу компаний ROCKWOOL — одного из мировых лидеров в производстве решений из каменной ваты. Продукция применяется для утепления, звукоизоляции и огнезащиты и предназначена для всех видов зданий и сооружений, а также промышленного оборудования. ROCKWOOL оказывает консультационные услуги в области повышения энергоэффективности зданий, поставляет системные решения для утепления фасадов, кровель и огнезащиты, декоративные панели для фасадов, акустические подвесные потолки, звукоизолирующие барьеры для защиты от дорожного шума и антивибрационные панели для железных дорог, субстраты для растениеводства.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Компания ROCKWOOL основана в 1909 году. ROCKWOOL принадлежит 51 производственная площадка по всему миру. Штат насчитывает около 12 000 специалистов. Российские производственные предприятия ROCKWOOL находятся в г. Балашиха, мкрн. Железнодорожный Московской области, в г. Выборг Ленинградской области, в г. Троицк Челябинской области и в ОЭЗ «Алабуга» (Республика Татарстан).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rockwool.ru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Пресс-служба: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b w:val="1"/>
          <w:i w:val="1"/>
          <w:color w:val="201f1e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rockwool@faves.agency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276225" cy="27622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276225" cy="27622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276225" cy="27622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0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0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* В опросе приняли участие 1860 человек по всей России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spacing w:after="240" w:lineRule="auto"/>
      <w:jc w:val="right"/>
      <w:rPr>
        <w:b w:val="1"/>
        <w:color w:val="999999"/>
      </w:rPr>
    </w:pPr>
    <w:r w:rsidDel="00000000" w:rsidR="00000000" w:rsidRPr="00000000">
      <w:rPr>
        <w:b w:val="1"/>
        <w:color w:val="999999"/>
        <w:rtl w:val="0"/>
      </w:rPr>
      <w:t xml:space="preserve">Новость                                                                            </w:t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 w:val="1"/>
    <w:unhideWhenUsed w:val="1"/>
    <w:rsid w:val="009F0C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9F0C81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sid w:val="009F0C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9F0C81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9F0C81"/>
    <w:rPr>
      <w:b w:val="1"/>
      <w:bCs w:val="1"/>
      <w:sz w:val="20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6D5B22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6D5B22"/>
    <w:rPr>
      <w:rFonts w:ascii="Segoe UI" w:cs="Segoe UI" w:hAnsi="Segoe UI"/>
      <w:sz w:val="18"/>
      <w:szCs w:val="18"/>
    </w:rPr>
  </w:style>
  <w:style w:type="paragraph" w:styleId="ac">
    <w:name w:val="Normal (Web)"/>
    <w:basedOn w:val="a"/>
    <w:uiPriority w:val="99"/>
    <w:unhideWhenUsed w:val="1"/>
    <w:rsid w:val="006D5B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d">
    <w:name w:val="Hyperlink"/>
    <w:basedOn w:val="a0"/>
    <w:uiPriority w:val="99"/>
    <w:unhideWhenUsed w:val="1"/>
    <w:rsid w:val="009A147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tect.gost.ru/v.aspx?control=7&amp;id=245894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www.rshb.ru/news/53429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rYM2KyMjRovJNwz1yljkaVAng==">AMUW2mVk9xv8fYOVEvTMkOtgrjxG+ZoLPmD3BXaZinsBnO+NScmW3PRE91FDpw0Z4mrwB9+XvYZLop9zBCndpBw+Ph1S1BPcXWQRmbhQ4iu4gttWYFRwH7sOCCUMJe8RQSswOQgVAn5o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2022-10-21T13:49:00Z</dcterms:created>
  <dc:creator>Воронина Яна С.</dc:creator>
</cp:coreProperties>
</file>