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7151" w14:textId="40F50CFE" w:rsidR="007F1857" w:rsidRPr="001736F2" w:rsidRDefault="008F3297" w:rsidP="00C10BCA">
      <w:pPr>
        <w:ind w:right="423"/>
        <w:rPr>
          <w:rFonts w:eastAsiaTheme="minorEastAsia" w:cstheme="minorHAnsi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eastAsiaTheme="minorEastAsia" w:cstheme="minorHAnsi"/>
          <w:b/>
          <w:sz w:val="24"/>
          <w:szCs w:val="24"/>
          <w:lang w:eastAsia="ru-RU"/>
        </w:rPr>
        <w:t xml:space="preserve"> </w:t>
      </w:r>
      <w:r w:rsidR="00635998">
        <w:rPr>
          <w:rFonts w:eastAsiaTheme="minorEastAsia" w:cstheme="minorHAnsi"/>
          <w:b/>
          <w:sz w:val="24"/>
          <w:szCs w:val="24"/>
          <w:lang w:eastAsia="ru-RU"/>
        </w:rPr>
        <w:t>«</w:t>
      </w:r>
      <w:r w:rsidR="00880AFD">
        <w:rPr>
          <w:rFonts w:eastAsiaTheme="minorEastAsia" w:cstheme="minorHAnsi"/>
          <w:b/>
          <w:sz w:val="24"/>
          <w:szCs w:val="24"/>
          <w:lang w:eastAsia="ru-RU"/>
        </w:rPr>
        <w:t>Газели</w:t>
      </w:r>
      <w:r w:rsidR="00635998">
        <w:rPr>
          <w:rFonts w:eastAsiaTheme="minorEastAsia" w:cstheme="minorHAnsi"/>
          <w:b/>
          <w:sz w:val="24"/>
          <w:szCs w:val="24"/>
          <w:lang w:eastAsia="ru-RU"/>
        </w:rPr>
        <w:t>»</w:t>
      </w:r>
      <w:r w:rsidR="00880AFD">
        <w:rPr>
          <w:rFonts w:eastAsiaTheme="minorEastAsia" w:cstheme="minorHAnsi"/>
          <w:b/>
          <w:sz w:val="24"/>
          <w:szCs w:val="24"/>
          <w:lang w:eastAsia="ru-RU"/>
        </w:rPr>
        <w:t xml:space="preserve"> в преддверии </w:t>
      </w:r>
      <w:proofErr w:type="spellStart"/>
      <w:r w:rsidR="00880AFD">
        <w:rPr>
          <w:rFonts w:eastAsiaTheme="minorEastAsia" w:cstheme="minorHAnsi"/>
          <w:b/>
          <w:sz w:val="24"/>
          <w:szCs w:val="24"/>
          <w:lang w:eastAsia="ru-RU"/>
        </w:rPr>
        <w:t>санкционного</w:t>
      </w:r>
      <w:proofErr w:type="spellEnd"/>
      <w:r w:rsidR="00880AFD">
        <w:rPr>
          <w:rFonts w:eastAsiaTheme="minorEastAsia" w:cstheme="minorHAnsi"/>
          <w:b/>
          <w:sz w:val="24"/>
          <w:szCs w:val="24"/>
          <w:lang w:eastAsia="ru-RU"/>
        </w:rPr>
        <w:t xml:space="preserve"> стресса</w:t>
      </w:r>
    </w:p>
    <w:p w14:paraId="0AC5FC8E" w14:textId="650DC937" w:rsidR="003E2F84" w:rsidRPr="003E2F84" w:rsidRDefault="00E85CCB" w:rsidP="006C47A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="00EA51E7" w:rsidRPr="003E2F84">
        <w:rPr>
          <w:rFonts w:cstheme="minorHAnsi"/>
          <w:sz w:val="24"/>
          <w:szCs w:val="24"/>
        </w:rPr>
        <w:t>СПАРК-Интерфакс</w:t>
      </w:r>
      <w:r>
        <w:rPr>
          <w:rFonts w:cstheme="minorHAnsi"/>
          <w:sz w:val="24"/>
          <w:szCs w:val="24"/>
        </w:rPr>
        <w:t>»</w:t>
      </w:r>
      <w:r w:rsidR="00EA51E7" w:rsidRPr="003E2F84">
        <w:rPr>
          <w:rFonts w:cstheme="minorHAnsi"/>
          <w:sz w:val="24"/>
          <w:szCs w:val="24"/>
        </w:rPr>
        <w:t xml:space="preserve"> ежегодно выявляет российские компании, демонстрирующие в течение многих лет высокие темпы роста. Результаты очередного ежегодного обзора показали, </w:t>
      </w:r>
      <w:r w:rsidR="003E2F84" w:rsidRPr="003E2F84">
        <w:rPr>
          <w:rFonts w:cstheme="minorHAnsi"/>
          <w:sz w:val="24"/>
          <w:szCs w:val="24"/>
        </w:rPr>
        <w:t>что число быстрорастущих компаний (БРК) в России продолжает увеличиваться</w:t>
      </w:r>
      <w:r w:rsidR="00635998">
        <w:rPr>
          <w:rFonts w:cstheme="minorHAnsi"/>
          <w:sz w:val="24"/>
          <w:szCs w:val="24"/>
        </w:rPr>
        <w:t>. П</w:t>
      </w:r>
      <w:r w:rsidR="003E2F84" w:rsidRPr="003E2F84">
        <w:rPr>
          <w:rFonts w:cstheme="minorHAnsi"/>
          <w:sz w:val="24"/>
          <w:szCs w:val="24"/>
        </w:rPr>
        <w:t xml:space="preserve">андемия не смогла </w:t>
      </w:r>
      <w:r w:rsidR="00635998">
        <w:rPr>
          <w:rFonts w:cstheme="minorHAnsi"/>
          <w:sz w:val="24"/>
          <w:szCs w:val="24"/>
        </w:rPr>
        <w:t>заглушить</w:t>
      </w:r>
      <w:r w:rsidR="003E2F84" w:rsidRPr="003E2F84">
        <w:rPr>
          <w:rFonts w:cstheme="minorHAnsi"/>
          <w:sz w:val="24"/>
          <w:szCs w:val="24"/>
        </w:rPr>
        <w:t xml:space="preserve"> точки ускоренного роста</w:t>
      </w:r>
      <w:r w:rsidR="00635998">
        <w:rPr>
          <w:rFonts w:cstheme="minorHAnsi"/>
          <w:sz w:val="24"/>
          <w:szCs w:val="24"/>
        </w:rPr>
        <w:t>, что</w:t>
      </w:r>
      <w:r w:rsidR="003E2F84" w:rsidRPr="003E2F84">
        <w:rPr>
          <w:rFonts w:cstheme="minorHAnsi"/>
          <w:sz w:val="24"/>
          <w:szCs w:val="24"/>
        </w:rPr>
        <w:t xml:space="preserve"> является свидетельством возросшей устойчивости российской экономики к внешним и внутренним шокам</w:t>
      </w:r>
      <w:r w:rsidR="00635998">
        <w:rPr>
          <w:rFonts w:cstheme="minorHAnsi"/>
          <w:sz w:val="24"/>
          <w:szCs w:val="24"/>
        </w:rPr>
        <w:t>. При этом среди «газелей» доля МСП выросла до 72%</w:t>
      </w:r>
      <w:r w:rsidR="003E2F84" w:rsidRPr="003E2F84">
        <w:rPr>
          <w:rFonts w:cstheme="minorHAnsi"/>
          <w:sz w:val="24"/>
          <w:szCs w:val="24"/>
        </w:rPr>
        <w:t>.</w:t>
      </w:r>
    </w:p>
    <w:p w14:paraId="68769C0A" w14:textId="6A13BFCC" w:rsidR="00635998" w:rsidRDefault="00EA51E7" w:rsidP="006C47AD">
      <w:pPr>
        <w:jc w:val="both"/>
        <w:rPr>
          <w:rFonts w:cstheme="minorHAnsi"/>
          <w:sz w:val="24"/>
          <w:szCs w:val="24"/>
        </w:rPr>
      </w:pPr>
      <w:r w:rsidRPr="001736F2">
        <w:rPr>
          <w:rFonts w:cstheme="minorHAnsi"/>
          <w:sz w:val="24"/>
          <w:szCs w:val="24"/>
        </w:rPr>
        <w:t xml:space="preserve">В </w:t>
      </w:r>
      <w:r w:rsidR="00635998">
        <w:rPr>
          <w:rFonts w:cstheme="minorHAnsi"/>
          <w:sz w:val="24"/>
          <w:szCs w:val="24"/>
        </w:rPr>
        <w:t xml:space="preserve">новый </w:t>
      </w:r>
      <w:r w:rsidRPr="001736F2">
        <w:rPr>
          <w:rFonts w:cstheme="minorHAnsi"/>
          <w:sz w:val="24"/>
          <w:szCs w:val="24"/>
        </w:rPr>
        <w:t xml:space="preserve">список </w:t>
      </w:r>
      <w:r w:rsidR="00E85CCB" w:rsidRPr="00976A34">
        <w:rPr>
          <w:rFonts w:cstheme="minorHAnsi"/>
          <w:b/>
          <w:bCs/>
          <w:sz w:val="24"/>
          <w:szCs w:val="24"/>
        </w:rPr>
        <w:t>«</w:t>
      </w:r>
      <w:r w:rsidRPr="00976A34">
        <w:rPr>
          <w:rFonts w:cstheme="minorHAnsi"/>
          <w:b/>
          <w:bCs/>
          <w:sz w:val="24"/>
          <w:szCs w:val="24"/>
        </w:rPr>
        <w:t>СПАРК: Быстрорастущие компании</w:t>
      </w:r>
      <w:r w:rsidR="00E85CCB" w:rsidRPr="00976A34">
        <w:rPr>
          <w:rFonts w:cstheme="minorHAnsi"/>
          <w:b/>
          <w:bCs/>
          <w:sz w:val="24"/>
          <w:szCs w:val="24"/>
        </w:rPr>
        <w:t>»</w:t>
      </w:r>
      <w:r w:rsidRPr="00976A34">
        <w:rPr>
          <w:rFonts w:cstheme="minorHAnsi"/>
          <w:b/>
          <w:bCs/>
          <w:sz w:val="24"/>
          <w:szCs w:val="24"/>
        </w:rPr>
        <w:t xml:space="preserve"> по итогам 201</w:t>
      </w:r>
      <w:r w:rsidR="00A61677" w:rsidRPr="00976A34">
        <w:rPr>
          <w:rFonts w:cstheme="minorHAnsi"/>
          <w:b/>
          <w:bCs/>
          <w:sz w:val="24"/>
          <w:szCs w:val="24"/>
        </w:rPr>
        <w:t>7</w:t>
      </w:r>
      <w:r w:rsidR="00C8189D" w:rsidRPr="00976A34">
        <w:rPr>
          <w:rFonts w:cstheme="minorHAnsi"/>
          <w:b/>
          <w:bCs/>
          <w:sz w:val="24"/>
          <w:szCs w:val="24"/>
        </w:rPr>
        <w:t>-202</w:t>
      </w:r>
      <w:r w:rsidR="00A61677" w:rsidRPr="00976A34">
        <w:rPr>
          <w:rFonts w:cstheme="minorHAnsi"/>
          <w:b/>
          <w:bCs/>
          <w:sz w:val="24"/>
          <w:szCs w:val="24"/>
        </w:rPr>
        <w:t>1</w:t>
      </w:r>
      <w:r w:rsidRPr="00976A34">
        <w:rPr>
          <w:rFonts w:cstheme="minorHAnsi"/>
          <w:b/>
          <w:bCs/>
          <w:sz w:val="24"/>
          <w:szCs w:val="24"/>
        </w:rPr>
        <w:t xml:space="preserve"> гг.</w:t>
      </w:r>
      <w:r w:rsidRPr="001736F2">
        <w:rPr>
          <w:rFonts w:cstheme="minorHAnsi"/>
          <w:sz w:val="24"/>
          <w:szCs w:val="24"/>
        </w:rPr>
        <w:t xml:space="preserve"> вошло </w:t>
      </w:r>
      <w:r w:rsidR="00C8189D" w:rsidRPr="00976A34">
        <w:rPr>
          <w:rFonts w:cstheme="minorHAnsi"/>
          <w:b/>
          <w:bCs/>
          <w:sz w:val="24"/>
          <w:szCs w:val="24"/>
        </w:rPr>
        <w:t>1</w:t>
      </w:r>
      <w:r w:rsidR="00A61677" w:rsidRPr="00976A34">
        <w:rPr>
          <w:rFonts w:cstheme="minorHAnsi"/>
          <w:b/>
          <w:bCs/>
          <w:sz w:val="24"/>
          <w:szCs w:val="24"/>
        </w:rPr>
        <w:t>227</w:t>
      </w:r>
      <w:r w:rsidR="006C47AD" w:rsidRPr="00976A34">
        <w:rPr>
          <w:rFonts w:cstheme="minorHAnsi"/>
          <w:b/>
          <w:bCs/>
          <w:sz w:val="24"/>
          <w:szCs w:val="24"/>
        </w:rPr>
        <w:t xml:space="preserve"> </w:t>
      </w:r>
      <w:r w:rsidRPr="00976A34">
        <w:rPr>
          <w:rFonts w:cstheme="minorHAnsi"/>
          <w:b/>
          <w:bCs/>
          <w:sz w:val="24"/>
          <w:szCs w:val="24"/>
        </w:rPr>
        <w:t>компани</w:t>
      </w:r>
      <w:r w:rsidR="00A61677" w:rsidRPr="00976A34">
        <w:rPr>
          <w:rFonts w:cstheme="minorHAnsi"/>
          <w:b/>
          <w:bCs/>
          <w:sz w:val="24"/>
          <w:szCs w:val="24"/>
        </w:rPr>
        <w:t>й</w:t>
      </w:r>
      <w:r w:rsidRPr="001736F2">
        <w:rPr>
          <w:rFonts w:cstheme="minorHAnsi"/>
          <w:sz w:val="24"/>
          <w:szCs w:val="24"/>
        </w:rPr>
        <w:t>, имевших темпы роста выручки более 10% в год в постоянных ценах в течение каждого из последних 4 лет</w:t>
      </w:r>
      <w:r w:rsidR="00E85CCB">
        <w:rPr>
          <w:rFonts w:cstheme="minorHAnsi"/>
          <w:sz w:val="24"/>
          <w:szCs w:val="24"/>
        </w:rPr>
        <w:t xml:space="preserve"> –</w:t>
      </w:r>
      <w:r w:rsidRPr="001736F2">
        <w:rPr>
          <w:rFonts w:cstheme="minorHAnsi"/>
          <w:sz w:val="24"/>
          <w:szCs w:val="24"/>
        </w:rPr>
        <w:t xml:space="preserve"> по сравнению с </w:t>
      </w:r>
      <w:r w:rsidR="00A61677" w:rsidRPr="00BC1B72">
        <w:rPr>
          <w:rFonts w:cstheme="minorHAnsi"/>
          <w:sz w:val="24"/>
          <w:szCs w:val="24"/>
        </w:rPr>
        <w:t>1032</w:t>
      </w:r>
      <w:r w:rsidRPr="001736F2">
        <w:rPr>
          <w:rFonts w:cstheme="minorHAnsi"/>
          <w:sz w:val="24"/>
          <w:szCs w:val="24"/>
        </w:rPr>
        <w:t xml:space="preserve"> компаниями в прошлом списке (</w:t>
      </w:r>
      <w:r w:rsidR="00A61677">
        <w:rPr>
          <w:rFonts w:ascii="Calibri" w:hAnsi="Calibri" w:cs="Calibri"/>
        </w:rPr>
        <w:t>2016-2020 гг.</w:t>
      </w:r>
      <w:r w:rsidRPr="001736F2">
        <w:rPr>
          <w:rFonts w:cstheme="minorHAnsi"/>
          <w:sz w:val="24"/>
          <w:szCs w:val="24"/>
        </w:rPr>
        <w:t xml:space="preserve">). </w:t>
      </w:r>
    </w:p>
    <w:p w14:paraId="294D1E46" w14:textId="77777777" w:rsidR="00EA51E7" w:rsidRPr="001736F2" w:rsidRDefault="00EA51E7" w:rsidP="006C47AD">
      <w:pPr>
        <w:jc w:val="both"/>
        <w:rPr>
          <w:rFonts w:cstheme="minorHAnsi"/>
          <w:sz w:val="24"/>
          <w:szCs w:val="24"/>
        </w:rPr>
      </w:pPr>
      <w:r w:rsidRPr="001736F2">
        <w:rPr>
          <w:rFonts w:cstheme="minorHAnsi"/>
          <w:sz w:val="24"/>
          <w:szCs w:val="24"/>
        </w:rPr>
        <w:t xml:space="preserve">Число компаний, которые обеспечили рост доходов ежегодно минимум на 20% год, также увеличилось, составив </w:t>
      </w:r>
      <w:r w:rsidR="00C8189D">
        <w:rPr>
          <w:rFonts w:cstheme="minorHAnsi"/>
          <w:sz w:val="24"/>
          <w:szCs w:val="24"/>
        </w:rPr>
        <w:t>3</w:t>
      </w:r>
      <w:r w:rsidR="00A61677">
        <w:rPr>
          <w:rFonts w:cstheme="minorHAnsi"/>
          <w:sz w:val="24"/>
          <w:szCs w:val="24"/>
        </w:rPr>
        <w:t>99</w:t>
      </w:r>
      <w:r w:rsidR="00C8189D">
        <w:rPr>
          <w:rFonts w:cstheme="minorHAnsi"/>
          <w:sz w:val="24"/>
          <w:szCs w:val="24"/>
        </w:rPr>
        <w:t xml:space="preserve"> </w:t>
      </w:r>
      <w:r w:rsidRPr="001736F2">
        <w:rPr>
          <w:rFonts w:cstheme="minorHAnsi"/>
          <w:sz w:val="24"/>
          <w:szCs w:val="24"/>
        </w:rPr>
        <w:t xml:space="preserve">против </w:t>
      </w:r>
      <w:r w:rsidR="00A61677">
        <w:rPr>
          <w:rFonts w:cstheme="minorHAnsi"/>
          <w:sz w:val="24"/>
          <w:szCs w:val="24"/>
        </w:rPr>
        <w:t>313</w:t>
      </w:r>
      <w:r w:rsidRPr="001736F2">
        <w:rPr>
          <w:rFonts w:cstheme="minorHAnsi"/>
          <w:sz w:val="24"/>
          <w:szCs w:val="24"/>
        </w:rPr>
        <w:t>.</w:t>
      </w:r>
      <w:r w:rsidR="007E6C3A">
        <w:rPr>
          <w:rFonts w:cstheme="minorHAnsi"/>
          <w:sz w:val="24"/>
          <w:szCs w:val="24"/>
        </w:rPr>
        <w:t xml:space="preserve">  </w:t>
      </w:r>
      <w:r w:rsidR="00C208B6">
        <w:rPr>
          <w:rFonts w:cstheme="minorHAnsi"/>
          <w:sz w:val="24"/>
          <w:szCs w:val="24"/>
        </w:rPr>
        <w:t>И</w:t>
      </w:r>
      <w:r w:rsidR="00880AFD" w:rsidRPr="00880AFD">
        <w:rPr>
          <w:rFonts w:cstheme="minorHAnsi"/>
          <w:sz w:val="24"/>
          <w:szCs w:val="24"/>
        </w:rPr>
        <w:t xml:space="preserve"> второй год</w:t>
      </w:r>
      <w:r w:rsidR="007E6C3A" w:rsidRPr="00880AFD">
        <w:rPr>
          <w:rFonts w:cstheme="minorHAnsi"/>
          <w:sz w:val="24"/>
          <w:szCs w:val="24"/>
        </w:rPr>
        <w:t xml:space="preserve"> пандеми</w:t>
      </w:r>
      <w:r w:rsidR="00880AFD" w:rsidRPr="00880AFD">
        <w:rPr>
          <w:rFonts w:cstheme="minorHAnsi"/>
          <w:sz w:val="24"/>
          <w:szCs w:val="24"/>
        </w:rPr>
        <w:t>и</w:t>
      </w:r>
      <w:r w:rsidR="007E6C3A" w:rsidRPr="00880AFD">
        <w:rPr>
          <w:rFonts w:cstheme="minorHAnsi"/>
          <w:sz w:val="24"/>
          <w:szCs w:val="24"/>
        </w:rPr>
        <w:t xml:space="preserve"> не смог</w:t>
      </w:r>
      <w:r w:rsidR="00880AFD" w:rsidRPr="00880AFD">
        <w:rPr>
          <w:rFonts w:cstheme="minorHAnsi"/>
          <w:sz w:val="24"/>
          <w:szCs w:val="24"/>
        </w:rPr>
        <w:t xml:space="preserve"> </w:t>
      </w:r>
      <w:r w:rsidR="007E6C3A" w:rsidRPr="00880AFD">
        <w:rPr>
          <w:rFonts w:cstheme="minorHAnsi"/>
          <w:sz w:val="24"/>
          <w:szCs w:val="24"/>
        </w:rPr>
        <w:t>сдержать развитие наиболее динамичных российских компаний</w:t>
      </w:r>
      <w:r w:rsidR="00880AFD" w:rsidRPr="00880AFD">
        <w:rPr>
          <w:rFonts w:cstheme="minorHAnsi"/>
          <w:sz w:val="24"/>
          <w:szCs w:val="24"/>
        </w:rPr>
        <w:t>.</w:t>
      </w:r>
      <w:r w:rsidR="007E6C3A" w:rsidRPr="00880AFD">
        <w:rPr>
          <w:rFonts w:cstheme="minorHAnsi"/>
          <w:sz w:val="24"/>
          <w:szCs w:val="24"/>
        </w:rPr>
        <w:t xml:space="preserve"> </w:t>
      </w:r>
      <w:r w:rsidR="00925801">
        <w:rPr>
          <w:rFonts w:cstheme="minorHAnsi"/>
          <w:sz w:val="24"/>
          <w:szCs w:val="24"/>
        </w:rPr>
        <w:t>По-видимому, р</w:t>
      </w:r>
      <w:r w:rsidR="003E2F84">
        <w:rPr>
          <w:rFonts w:cstheme="minorHAnsi"/>
          <w:sz w:val="24"/>
          <w:szCs w:val="24"/>
        </w:rPr>
        <w:t xml:space="preserve">оссийский бизнес </w:t>
      </w:r>
      <w:r w:rsidR="00925801">
        <w:rPr>
          <w:rFonts w:cstheme="minorHAnsi"/>
          <w:sz w:val="24"/>
          <w:szCs w:val="24"/>
        </w:rPr>
        <w:t xml:space="preserve">уже достиг того уровня зрелости, который позволяет успешно находить </w:t>
      </w:r>
      <w:r w:rsidR="007F1EDD">
        <w:rPr>
          <w:rFonts w:cstheme="minorHAnsi"/>
          <w:sz w:val="24"/>
          <w:szCs w:val="24"/>
        </w:rPr>
        <w:t>«</w:t>
      </w:r>
      <w:r w:rsidR="007E6C3A" w:rsidRPr="00880AFD">
        <w:rPr>
          <w:rFonts w:cstheme="minorHAnsi"/>
          <w:sz w:val="24"/>
          <w:szCs w:val="24"/>
        </w:rPr>
        <w:t>ниши</w:t>
      </w:r>
      <w:r w:rsidR="007F1EDD">
        <w:rPr>
          <w:rFonts w:cstheme="minorHAnsi"/>
          <w:sz w:val="24"/>
          <w:szCs w:val="24"/>
        </w:rPr>
        <w:t>»</w:t>
      </w:r>
      <w:r w:rsidR="007E6C3A" w:rsidRPr="00880AFD">
        <w:rPr>
          <w:rFonts w:cstheme="minorHAnsi"/>
          <w:sz w:val="24"/>
          <w:szCs w:val="24"/>
        </w:rPr>
        <w:t xml:space="preserve"> для ускоренного роста</w:t>
      </w:r>
      <w:r w:rsidR="00880AFD" w:rsidRPr="00880AFD">
        <w:rPr>
          <w:rFonts w:cstheme="minorHAnsi"/>
          <w:sz w:val="24"/>
          <w:szCs w:val="24"/>
        </w:rPr>
        <w:t xml:space="preserve"> </w:t>
      </w:r>
      <w:r w:rsidR="00C208B6">
        <w:rPr>
          <w:rFonts w:cstheme="minorHAnsi"/>
          <w:sz w:val="24"/>
          <w:szCs w:val="24"/>
        </w:rPr>
        <w:t xml:space="preserve">даже </w:t>
      </w:r>
      <w:r w:rsidR="007F1EDD">
        <w:rPr>
          <w:rFonts w:cstheme="minorHAnsi"/>
          <w:sz w:val="24"/>
          <w:szCs w:val="24"/>
        </w:rPr>
        <w:t xml:space="preserve">в </w:t>
      </w:r>
      <w:r w:rsidR="00C208B6">
        <w:rPr>
          <w:rFonts w:cstheme="minorHAnsi"/>
          <w:sz w:val="24"/>
          <w:szCs w:val="24"/>
        </w:rPr>
        <w:t xml:space="preserve">неблагоприятных </w:t>
      </w:r>
      <w:r w:rsidR="00880AFD" w:rsidRPr="00880AFD">
        <w:rPr>
          <w:rFonts w:cstheme="minorHAnsi"/>
          <w:sz w:val="24"/>
          <w:szCs w:val="24"/>
        </w:rPr>
        <w:t>обстоятельствах</w:t>
      </w:r>
      <w:r w:rsidR="007E6C3A" w:rsidRPr="00880AFD">
        <w:rPr>
          <w:rFonts w:cstheme="minorHAnsi"/>
          <w:sz w:val="24"/>
          <w:szCs w:val="24"/>
        </w:rPr>
        <w:t>.</w:t>
      </w:r>
    </w:p>
    <w:p w14:paraId="0E8F39D3" w14:textId="77777777" w:rsidR="007F1857" w:rsidRPr="00E85CCB" w:rsidRDefault="00DC442C" w:rsidP="00FD1182">
      <w:pPr>
        <w:ind w:right="423"/>
        <w:jc w:val="both"/>
        <w:rPr>
          <w:rFonts w:eastAsiaTheme="minorEastAsia" w:cstheme="minorHAnsi"/>
          <w:b/>
          <w:bCs/>
          <w:sz w:val="24"/>
          <w:szCs w:val="24"/>
          <w:lang w:eastAsia="ru-RU"/>
        </w:rPr>
      </w:pPr>
      <w:r w:rsidRPr="00E85CCB">
        <w:rPr>
          <w:rFonts w:eastAsiaTheme="minorEastAsia" w:cstheme="minorHAnsi"/>
          <w:b/>
          <w:bCs/>
          <w:sz w:val="24"/>
          <w:szCs w:val="24"/>
          <w:lang w:eastAsia="ru-RU"/>
        </w:rPr>
        <w:t xml:space="preserve">Количество </w:t>
      </w:r>
      <w:r w:rsidR="007F1857" w:rsidRPr="00E85CCB">
        <w:rPr>
          <w:rFonts w:eastAsiaTheme="minorEastAsia" w:cstheme="minorHAnsi"/>
          <w:b/>
          <w:bCs/>
          <w:sz w:val="24"/>
          <w:szCs w:val="24"/>
          <w:lang w:eastAsia="ru-RU"/>
        </w:rPr>
        <w:t xml:space="preserve">быстрорастущих компаний по группам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133"/>
        <w:gridCol w:w="2072"/>
        <w:gridCol w:w="2073"/>
        <w:gridCol w:w="2073"/>
      </w:tblGrid>
      <w:tr w:rsidR="001D2431" w:rsidRPr="009B3AE5" w14:paraId="307C5430" w14:textId="77777777" w:rsidTr="001A7CB7">
        <w:tc>
          <w:tcPr>
            <w:tcW w:w="3133" w:type="dxa"/>
          </w:tcPr>
          <w:p w14:paraId="27AA17B0" w14:textId="77777777" w:rsidR="001D2431" w:rsidRPr="009B3AE5" w:rsidRDefault="001D2431" w:rsidP="001D2431">
            <w:pPr>
              <w:spacing w:after="200" w:line="276" w:lineRule="auto"/>
              <w:jc w:val="both"/>
              <w:rPr>
                <w:rFonts w:eastAsiaTheme="minorEastAsia" w:cstheme="minorHAnsi"/>
                <w:sz w:val="24"/>
                <w:szCs w:val="24"/>
                <w:lang w:eastAsia="ru-RU"/>
              </w:rPr>
            </w:pPr>
            <w:r w:rsidRPr="009B3AE5">
              <w:rPr>
                <w:rFonts w:eastAsiaTheme="minorEastAsia" w:cstheme="minorHAnsi"/>
                <w:sz w:val="24"/>
                <w:szCs w:val="24"/>
                <w:lang w:eastAsia="ru-RU"/>
              </w:rPr>
              <w:t>Прирост выручки</w:t>
            </w:r>
          </w:p>
        </w:tc>
        <w:tc>
          <w:tcPr>
            <w:tcW w:w="2072" w:type="dxa"/>
            <w:vAlign w:val="bottom"/>
          </w:tcPr>
          <w:p w14:paraId="435B9214" w14:textId="77777777" w:rsidR="001D2431" w:rsidRDefault="001D2431" w:rsidP="001D24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2015-2019 гг.</w:t>
            </w:r>
          </w:p>
        </w:tc>
        <w:tc>
          <w:tcPr>
            <w:tcW w:w="2073" w:type="dxa"/>
            <w:vAlign w:val="bottom"/>
          </w:tcPr>
          <w:p w14:paraId="2AFFEC9F" w14:textId="77777777" w:rsidR="001D2431" w:rsidRDefault="001D2431" w:rsidP="001D24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2016-2020 гг.</w:t>
            </w:r>
          </w:p>
        </w:tc>
        <w:tc>
          <w:tcPr>
            <w:tcW w:w="2073" w:type="dxa"/>
            <w:vAlign w:val="bottom"/>
          </w:tcPr>
          <w:p w14:paraId="3725640F" w14:textId="77777777" w:rsidR="001D2431" w:rsidRDefault="001D2431" w:rsidP="001D24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2017-2021 гг.</w:t>
            </w:r>
          </w:p>
        </w:tc>
      </w:tr>
      <w:tr w:rsidR="00A61677" w:rsidRPr="009B3AE5" w14:paraId="754CCCB9" w14:textId="77777777" w:rsidTr="00A61677">
        <w:tc>
          <w:tcPr>
            <w:tcW w:w="3133" w:type="dxa"/>
            <w:vAlign w:val="bottom"/>
          </w:tcPr>
          <w:p w14:paraId="2CB68CE1" w14:textId="77777777" w:rsidR="00A61677" w:rsidRDefault="00A61677" w:rsidP="00A616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10-15% в год</w:t>
            </w:r>
          </w:p>
        </w:tc>
        <w:tc>
          <w:tcPr>
            <w:tcW w:w="2072" w:type="dxa"/>
            <w:vAlign w:val="center"/>
          </w:tcPr>
          <w:p w14:paraId="72476C9A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2073" w:type="dxa"/>
            <w:vAlign w:val="center"/>
          </w:tcPr>
          <w:p w14:paraId="391E3A1F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447</w:t>
            </w:r>
          </w:p>
        </w:tc>
        <w:tc>
          <w:tcPr>
            <w:tcW w:w="2073" w:type="dxa"/>
            <w:vAlign w:val="center"/>
          </w:tcPr>
          <w:p w14:paraId="57A87992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525</w:t>
            </w:r>
          </w:p>
        </w:tc>
      </w:tr>
      <w:tr w:rsidR="00A61677" w:rsidRPr="009B3AE5" w14:paraId="57890A7C" w14:textId="77777777" w:rsidTr="00A61677">
        <w:tc>
          <w:tcPr>
            <w:tcW w:w="3133" w:type="dxa"/>
            <w:vAlign w:val="bottom"/>
          </w:tcPr>
          <w:p w14:paraId="1E56CA9F" w14:textId="77777777" w:rsidR="00A61677" w:rsidRDefault="00A61677" w:rsidP="00A616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15-20% в год</w:t>
            </w:r>
          </w:p>
        </w:tc>
        <w:tc>
          <w:tcPr>
            <w:tcW w:w="2072" w:type="dxa"/>
            <w:vAlign w:val="center"/>
          </w:tcPr>
          <w:p w14:paraId="02A80185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2073" w:type="dxa"/>
            <w:vAlign w:val="center"/>
          </w:tcPr>
          <w:p w14:paraId="024EF0EF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2073" w:type="dxa"/>
            <w:vAlign w:val="center"/>
          </w:tcPr>
          <w:p w14:paraId="297DBB59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</w:tr>
      <w:tr w:rsidR="00A61677" w:rsidRPr="009B3AE5" w14:paraId="021B31BE" w14:textId="77777777" w:rsidTr="00A61677">
        <w:tc>
          <w:tcPr>
            <w:tcW w:w="3133" w:type="dxa"/>
            <w:vAlign w:val="bottom"/>
          </w:tcPr>
          <w:p w14:paraId="3F642258" w14:textId="77777777" w:rsidR="00A61677" w:rsidRDefault="00A61677" w:rsidP="00A616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более 20% в год</w:t>
            </w:r>
          </w:p>
        </w:tc>
        <w:tc>
          <w:tcPr>
            <w:tcW w:w="2072" w:type="dxa"/>
            <w:vAlign w:val="center"/>
          </w:tcPr>
          <w:p w14:paraId="7F866800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2073" w:type="dxa"/>
            <w:vAlign w:val="center"/>
          </w:tcPr>
          <w:p w14:paraId="6250C6A1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2073" w:type="dxa"/>
            <w:vAlign w:val="center"/>
          </w:tcPr>
          <w:p w14:paraId="4FE0E76D" w14:textId="77777777" w:rsidR="00A61677" w:rsidRDefault="00A61677" w:rsidP="00A616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399</w:t>
            </w:r>
          </w:p>
        </w:tc>
      </w:tr>
    </w:tbl>
    <w:p w14:paraId="68500423" w14:textId="77777777" w:rsidR="00DC442C" w:rsidRPr="00976A34" w:rsidRDefault="00DC442C" w:rsidP="00DC442C">
      <w:pPr>
        <w:rPr>
          <w:rFonts w:eastAsiaTheme="minorEastAsia" w:cstheme="minorHAnsi"/>
          <w:i/>
          <w:sz w:val="24"/>
          <w:szCs w:val="24"/>
          <w:vertAlign w:val="superscript"/>
          <w:lang w:eastAsia="ru-RU"/>
        </w:rPr>
      </w:pPr>
      <w:r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 xml:space="preserve">Источник: </w:t>
      </w:r>
      <w:r w:rsidR="00A5528F"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«</w:t>
      </w:r>
      <w:r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СПАРК</w:t>
      </w:r>
      <w:r w:rsidR="00A5528F"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-Интерфакс»</w:t>
      </w:r>
    </w:p>
    <w:p w14:paraId="60BBA2CF" w14:textId="77777777" w:rsidR="00DC442C" w:rsidRPr="00E85CCB" w:rsidRDefault="00DC442C" w:rsidP="00DC442C">
      <w:pPr>
        <w:jc w:val="both"/>
        <w:rPr>
          <w:rFonts w:eastAsiaTheme="minorEastAsia" w:cstheme="minorHAnsi"/>
          <w:b/>
          <w:bCs/>
          <w:sz w:val="24"/>
          <w:szCs w:val="24"/>
          <w:lang w:eastAsia="ru-RU"/>
        </w:rPr>
      </w:pPr>
      <w:r w:rsidRPr="00E85CCB">
        <w:rPr>
          <w:rFonts w:eastAsiaTheme="minorEastAsia" w:cstheme="minorHAnsi"/>
          <w:b/>
          <w:bCs/>
          <w:sz w:val="24"/>
          <w:szCs w:val="24"/>
          <w:lang w:eastAsia="ru-RU"/>
        </w:rPr>
        <w:t xml:space="preserve">Распределение быстрорастущих компаний по группам </w:t>
      </w:r>
    </w:p>
    <w:p w14:paraId="1961C5DB" w14:textId="77777777" w:rsidR="00DC442C" w:rsidRPr="009B3AE5" w:rsidRDefault="00440F38" w:rsidP="007F1857">
      <w:pPr>
        <w:jc w:val="both"/>
        <w:rPr>
          <w:rFonts w:eastAsiaTheme="minorEastAsia" w:cstheme="minorHAnsi"/>
          <w:i/>
          <w:sz w:val="24"/>
          <w:szCs w:val="24"/>
          <w:lang w:eastAsia="ru-RU"/>
        </w:rPr>
      </w:pPr>
      <w:r>
        <w:rPr>
          <w:rFonts w:eastAsiaTheme="minorEastAsia" w:cstheme="minorHAnsi"/>
          <w:i/>
          <w:noProof/>
          <w:sz w:val="24"/>
          <w:szCs w:val="24"/>
          <w:lang w:eastAsia="ru-RU"/>
        </w:rPr>
        <w:drawing>
          <wp:inline distT="0" distB="0" distL="0" distR="0" wp14:anchorId="4E64783C" wp14:editId="7F657361">
            <wp:extent cx="4579620" cy="29489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94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01030" w14:textId="77777777" w:rsidR="00DC442C" w:rsidRPr="00976A34" w:rsidRDefault="00DC442C" w:rsidP="00DC442C">
      <w:pPr>
        <w:rPr>
          <w:rFonts w:eastAsiaTheme="minorEastAsia" w:cstheme="minorHAnsi"/>
          <w:i/>
          <w:sz w:val="24"/>
          <w:szCs w:val="24"/>
          <w:vertAlign w:val="superscript"/>
          <w:lang w:eastAsia="ru-RU"/>
        </w:rPr>
      </w:pPr>
      <w:r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 xml:space="preserve">Источник: </w:t>
      </w:r>
      <w:r w:rsidR="00D2765C"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«</w:t>
      </w:r>
      <w:r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СПАРК</w:t>
      </w:r>
      <w:r w:rsidR="00D2765C" w:rsidRPr="00976A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-Интерфакс»</w:t>
      </w:r>
    </w:p>
    <w:p w14:paraId="52A9F307" w14:textId="77777777" w:rsidR="007F1EDD" w:rsidRPr="009B3AE5" w:rsidRDefault="007F1EDD" w:rsidP="00DC442C">
      <w:pPr>
        <w:rPr>
          <w:rFonts w:eastAsiaTheme="minorEastAsia" w:cstheme="minorHAnsi"/>
          <w:i/>
          <w:sz w:val="24"/>
          <w:szCs w:val="24"/>
          <w:lang w:eastAsia="ru-RU"/>
        </w:rPr>
      </w:pPr>
    </w:p>
    <w:p w14:paraId="5CDD3B78" w14:textId="77777777" w:rsidR="007F1857" w:rsidRPr="00976A34" w:rsidRDefault="007F1857" w:rsidP="00FD1182">
      <w:pPr>
        <w:ind w:right="423"/>
        <w:jc w:val="both"/>
        <w:rPr>
          <w:rFonts w:eastAsiaTheme="minorEastAsia" w:cstheme="minorHAnsi"/>
          <w:b/>
          <w:bCs/>
          <w:i/>
          <w:sz w:val="24"/>
          <w:szCs w:val="24"/>
          <w:lang w:eastAsia="ru-RU"/>
        </w:rPr>
      </w:pPr>
      <w:r w:rsidRPr="00976A34">
        <w:rPr>
          <w:rFonts w:eastAsiaTheme="minorEastAsia" w:cstheme="minorHAnsi"/>
          <w:b/>
          <w:bCs/>
          <w:i/>
          <w:sz w:val="24"/>
          <w:szCs w:val="24"/>
          <w:lang w:eastAsia="ru-RU"/>
        </w:rPr>
        <w:lastRenderedPageBreak/>
        <w:t>Критерии включения быстрорастущих компаний в список:</w:t>
      </w:r>
    </w:p>
    <w:p w14:paraId="2E3F41F6" w14:textId="5754163B" w:rsidR="007F1857" w:rsidRPr="009B3AE5" w:rsidRDefault="007F1857" w:rsidP="00FD1182">
      <w:pPr>
        <w:numPr>
          <w:ilvl w:val="0"/>
          <w:numId w:val="1"/>
        </w:numPr>
        <w:ind w:right="423"/>
        <w:rPr>
          <w:rFonts w:eastAsiaTheme="minorEastAsia" w:cstheme="minorHAnsi"/>
          <w:i/>
          <w:sz w:val="24"/>
          <w:szCs w:val="24"/>
          <w:lang w:eastAsia="ru-RU"/>
        </w:rPr>
      </w:pPr>
      <w:r w:rsidRPr="009B3AE5">
        <w:rPr>
          <w:rFonts w:eastAsiaTheme="minorEastAsia" w:cstheme="minorHAnsi"/>
          <w:i/>
          <w:sz w:val="24"/>
          <w:szCs w:val="24"/>
          <w:lang w:eastAsia="ru-RU"/>
        </w:rPr>
        <w:t>Ежегодный прирост выручки компании должен превышать групповой показатель (20, 15 или 10%) в постоянных ценах ежегодно в течение 4 лет по сравнению с базовым годом</w:t>
      </w:r>
      <w:r w:rsidR="006901D0">
        <w:rPr>
          <w:rFonts w:eastAsiaTheme="minorEastAsia" w:cstheme="minorHAnsi"/>
          <w:i/>
          <w:sz w:val="24"/>
          <w:szCs w:val="24"/>
          <w:lang w:eastAsia="ru-RU"/>
        </w:rPr>
        <w:t>.</w:t>
      </w:r>
    </w:p>
    <w:p w14:paraId="4BD24C43" w14:textId="294E9B2E" w:rsidR="007F1857" w:rsidRPr="009B3AE5" w:rsidRDefault="007F1857" w:rsidP="00FD1182">
      <w:pPr>
        <w:numPr>
          <w:ilvl w:val="0"/>
          <w:numId w:val="1"/>
        </w:numPr>
        <w:ind w:right="423"/>
        <w:jc w:val="both"/>
        <w:rPr>
          <w:rFonts w:eastAsiaTheme="minorEastAsia" w:cstheme="minorHAnsi"/>
          <w:i/>
          <w:sz w:val="24"/>
          <w:szCs w:val="24"/>
          <w:lang w:eastAsia="ru-RU"/>
        </w:rPr>
      </w:pPr>
      <w:r w:rsidRPr="009B3AE5">
        <w:rPr>
          <w:rFonts w:eastAsiaTheme="minorEastAsia" w:cstheme="minorHAnsi"/>
          <w:i/>
          <w:sz w:val="24"/>
          <w:szCs w:val="24"/>
          <w:lang w:eastAsia="ru-RU"/>
        </w:rPr>
        <w:t>Выручка компании в 201</w:t>
      </w:r>
      <w:r w:rsidR="00900D15">
        <w:rPr>
          <w:rFonts w:eastAsiaTheme="minorEastAsia" w:cstheme="minorHAnsi"/>
          <w:i/>
          <w:sz w:val="24"/>
          <w:szCs w:val="24"/>
          <w:lang w:eastAsia="ru-RU"/>
        </w:rPr>
        <w:t>7</w:t>
      </w:r>
      <w:r w:rsidRPr="009B3AE5">
        <w:rPr>
          <w:rFonts w:eastAsiaTheme="minorEastAsia" w:cstheme="minorHAnsi"/>
          <w:i/>
          <w:sz w:val="24"/>
          <w:szCs w:val="24"/>
          <w:lang w:eastAsia="ru-RU"/>
        </w:rPr>
        <w:t xml:space="preserve"> г. должна превышать </w:t>
      </w:r>
      <w:r w:rsidR="00C8189D">
        <w:rPr>
          <w:rFonts w:eastAsiaTheme="minorEastAsia" w:cstheme="minorHAnsi"/>
          <w:i/>
          <w:sz w:val="24"/>
          <w:szCs w:val="24"/>
          <w:lang w:eastAsia="ru-RU"/>
        </w:rPr>
        <w:t>8</w:t>
      </w:r>
      <w:r w:rsidR="00900D15">
        <w:rPr>
          <w:rFonts w:eastAsiaTheme="minorEastAsia" w:cstheme="minorHAnsi"/>
          <w:i/>
          <w:sz w:val="24"/>
          <w:szCs w:val="24"/>
          <w:lang w:eastAsia="ru-RU"/>
        </w:rPr>
        <w:t>7</w:t>
      </w:r>
      <w:r w:rsidRPr="009B3AE5">
        <w:rPr>
          <w:rFonts w:eastAsiaTheme="minorEastAsia" w:cstheme="minorHAnsi"/>
          <w:i/>
          <w:sz w:val="24"/>
          <w:szCs w:val="24"/>
          <w:lang w:eastAsia="ru-RU"/>
        </w:rPr>
        <w:t xml:space="preserve"> млн руб.</w:t>
      </w:r>
    </w:p>
    <w:p w14:paraId="5DC494A2" w14:textId="53F82E54" w:rsidR="007F1857" w:rsidRPr="009B3AE5" w:rsidRDefault="007F1857" w:rsidP="00FD1182">
      <w:pPr>
        <w:numPr>
          <w:ilvl w:val="0"/>
          <w:numId w:val="1"/>
        </w:numPr>
        <w:ind w:right="423"/>
        <w:rPr>
          <w:rFonts w:eastAsiaTheme="minorEastAsia" w:cstheme="minorHAnsi"/>
          <w:i/>
          <w:sz w:val="24"/>
          <w:szCs w:val="24"/>
          <w:lang w:eastAsia="ru-RU"/>
        </w:rPr>
      </w:pPr>
      <w:r w:rsidRPr="009B3AE5">
        <w:rPr>
          <w:rFonts w:eastAsiaTheme="minorEastAsia" w:cstheme="minorHAnsi"/>
          <w:i/>
          <w:sz w:val="24"/>
          <w:szCs w:val="24"/>
          <w:lang w:eastAsia="ru-RU"/>
        </w:rPr>
        <w:t>Чистые активы компании в последний отчетный год не являются отрицательными</w:t>
      </w:r>
      <w:r w:rsidR="006901D0">
        <w:rPr>
          <w:rFonts w:eastAsiaTheme="minorEastAsia" w:cstheme="minorHAnsi"/>
          <w:i/>
          <w:sz w:val="24"/>
          <w:szCs w:val="24"/>
          <w:lang w:eastAsia="ru-RU"/>
        </w:rPr>
        <w:t>.</w:t>
      </w:r>
    </w:p>
    <w:p w14:paraId="5986F313" w14:textId="4F7317AD" w:rsidR="007F1857" w:rsidRPr="009B3AE5" w:rsidRDefault="007F1857" w:rsidP="00FD1182">
      <w:pPr>
        <w:numPr>
          <w:ilvl w:val="0"/>
          <w:numId w:val="1"/>
        </w:numPr>
        <w:ind w:right="423"/>
        <w:rPr>
          <w:rFonts w:eastAsiaTheme="minorEastAsia" w:cstheme="minorHAnsi"/>
          <w:i/>
          <w:sz w:val="24"/>
          <w:szCs w:val="24"/>
          <w:lang w:eastAsia="ru-RU"/>
        </w:rPr>
      </w:pPr>
      <w:r w:rsidRPr="009B3AE5">
        <w:rPr>
          <w:rFonts w:eastAsiaTheme="minorEastAsia" w:cstheme="minorHAnsi"/>
          <w:i/>
          <w:sz w:val="24"/>
          <w:szCs w:val="24"/>
          <w:lang w:eastAsia="ru-RU"/>
        </w:rPr>
        <w:t>Компания не должна быть аффилирована с крупн</w:t>
      </w:r>
      <w:r w:rsidR="00043CFB" w:rsidRPr="009B3AE5">
        <w:rPr>
          <w:rFonts w:eastAsiaTheme="minorEastAsia" w:cstheme="minorHAnsi"/>
          <w:i/>
          <w:sz w:val="24"/>
          <w:szCs w:val="24"/>
          <w:lang w:eastAsia="ru-RU"/>
        </w:rPr>
        <w:t>ейшими</w:t>
      </w:r>
      <w:r w:rsidRPr="009B3AE5">
        <w:rPr>
          <w:rFonts w:eastAsiaTheme="minorEastAsia" w:cstheme="minorHAnsi"/>
          <w:i/>
          <w:sz w:val="24"/>
          <w:szCs w:val="24"/>
          <w:lang w:eastAsia="ru-RU"/>
        </w:rPr>
        <w:t xml:space="preserve"> </w:t>
      </w:r>
      <w:r w:rsidR="00B62F23" w:rsidRPr="009B3AE5">
        <w:rPr>
          <w:rFonts w:eastAsiaTheme="minorEastAsia" w:cstheme="minorHAnsi"/>
          <w:i/>
          <w:sz w:val="24"/>
          <w:szCs w:val="24"/>
          <w:lang w:eastAsia="ru-RU"/>
        </w:rPr>
        <w:t>холдингами</w:t>
      </w:r>
      <w:r w:rsidR="006901D0">
        <w:rPr>
          <w:rFonts w:eastAsiaTheme="minorEastAsia" w:cstheme="minorHAnsi"/>
          <w:i/>
          <w:sz w:val="24"/>
          <w:szCs w:val="24"/>
          <w:lang w:eastAsia="ru-RU"/>
        </w:rPr>
        <w:t>.</w:t>
      </w:r>
    </w:p>
    <w:p w14:paraId="29281325" w14:textId="298BC501" w:rsidR="007F1857" w:rsidRPr="009B3AE5" w:rsidRDefault="007F1857" w:rsidP="00FD1182">
      <w:pPr>
        <w:numPr>
          <w:ilvl w:val="0"/>
          <w:numId w:val="1"/>
        </w:numPr>
        <w:ind w:right="423"/>
        <w:rPr>
          <w:rFonts w:eastAsiaTheme="minorEastAsia" w:cstheme="minorHAnsi"/>
          <w:i/>
          <w:sz w:val="24"/>
          <w:szCs w:val="24"/>
          <w:lang w:eastAsia="ru-RU"/>
        </w:rPr>
      </w:pPr>
      <w:r w:rsidRPr="009B3AE5">
        <w:rPr>
          <w:rFonts w:eastAsiaTheme="minorEastAsia" w:cstheme="minorHAnsi"/>
          <w:i/>
          <w:sz w:val="24"/>
          <w:szCs w:val="24"/>
          <w:lang w:eastAsia="ru-RU"/>
        </w:rPr>
        <w:t>Компания не должна иметь в числе акционеров компании и структуры с госучастием</w:t>
      </w:r>
      <w:r w:rsidR="006901D0">
        <w:rPr>
          <w:rFonts w:eastAsiaTheme="minorEastAsia" w:cstheme="minorHAnsi"/>
          <w:i/>
          <w:sz w:val="24"/>
          <w:szCs w:val="24"/>
          <w:lang w:eastAsia="ru-RU"/>
        </w:rPr>
        <w:t>.</w:t>
      </w:r>
    </w:p>
    <w:p w14:paraId="017333DC" w14:textId="77777777" w:rsidR="007F1857" w:rsidRPr="001736F2" w:rsidRDefault="007F1857" w:rsidP="00FD1182">
      <w:pPr>
        <w:numPr>
          <w:ilvl w:val="0"/>
          <w:numId w:val="1"/>
        </w:numPr>
        <w:ind w:right="423"/>
        <w:rPr>
          <w:rFonts w:eastAsiaTheme="minorEastAsia" w:cstheme="minorHAnsi"/>
          <w:i/>
          <w:sz w:val="24"/>
          <w:szCs w:val="24"/>
          <w:lang w:eastAsia="ru-RU"/>
        </w:rPr>
      </w:pPr>
      <w:r w:rsidRPr="009B3AE5">
        <w:rPr>
          <w:rFonts w:eastAsiaTheme="minorEastAsia" w:cstheme="minorHAnsi"/>
          <w:i/>
          <w:sz w:val="24"/>
          <w:szCs w:val="24"/>
          <w:lang w:eastAsia="ru-RU"/>
        </w:rPr>
        <w:t xml:space="preserve">Компания имеет Индекс финансового риска </w:t>
      </w:r>
      <w:r w:rsidR="00A5528F" w:rsidRPr="009B3AE5">
        <w:rPr>
          <w:rFonts w:eastAsiaTheme="minorEastAsia" w:cstheme="minorHAnsi"/>
          <w:i/>
          <w:sz w:val="24"/>
          <w:szCs w:val="24"/>
          <w:lang w:eastAsia="ru-RU"/>
        </w:rPr>
        <w:t>«</w:t>
      </w:r>
      <w:r w:rsidRPr="009B3AE5">
        <w:rPr>
          <w:rFonts w:eastAsiaTheme="minorEastAsia" w:cstheme="minorHAnsi"/>
          <w:i/>
          <w:sz w:val="24"/>
          <w:szCs w:val="24"/>
          <w:lang w:eastAsia="ru-RU"/>
        </w:rPr>
        <w:t>СПАРК-Интерфакс</w:t>
      </w:r>
      <w:r w:rsidR="00A5528F" w:rsidRPr="009B3AE5">
        <w:rPr>
          <w:rFonts w:eastAsiaTheme="minorEastAsia" w:cstheme="minorHAnsi"/>
          <w:i/>
          <w:sz w:val="24"/>
          <w:szCs w:val="24"/>
          <w:lang w:eastAsia="ru-RU"/>
        </w:rPr>
        <w:t>»</w:t>
      </w:r>
      <w:r w:rsidRPr="009B3AE5">
        <w:rPr>
          <w:rFonts w:eastAsiaTheme="minorEastAsia" w:cstheme="minorHAnsi"/>
          <w:i/>
          <w:sz w:val="24"/>
          <w:szCs w:val="24"/>
          <w:lang w:eastAsia="ru-RU"/>
        </w:rPr>
        <w:t xml:space="preserve"> в диапазоне «средний» или «низкий» («Высокий» уровень свидетельствует о большой </w:t>
      </w:r>
      <w:r w:rsidRPr="001736F2">
        <w:rPr>
          <w:rFonts w:eastAsiaTheme="minorEastAsia" w:cstheme="minorHAnsi"/>
          <w:i/>
          <w:sz w:val="24"/>
          <w:szCs w:val="24"/>
          <w:lang w:eastAsia="ru-RU"/>
        </w:rPr>
        <w:t>вероятности потери платежеспособности на горизонте в год-полтора).</w:t>
      </w:r>
    </w:p>
    <w:p w14:paraId="7CB9C10C" w14:textId="2E90EAA3" w:rsidR="00EA51E7" w:rsidRPr="001736F2" w:rsidRDefault="00635998" w:rsidP="00B94E7D">
      <w:pPr>
        <w:jc w:val="both"/>
        <w:rPr>
          <w:rFonts w:cstheme="minorHAnsi"/>
          <w:sz w:val="24"/>
          <w:szCs w:val="24"/>
        </w:rPr>
      </w:pPr>
      <w:r w:rsidRPr="00976A34">
        <w:rPr>
          <w:rFonts w:cstheme="minorHAnsi"/>
          <w:sz w:val="24"/>
          <w:szCs w:val="24"/>
        </w:rPr>
        <w:t>Н</w:t>
      </w:r>
      <w:r w:rsidR="00EA51E7" w:rsidRPr="00976A34">
        <w:rPr>
          <w:rFonts w:cstheme="minorHAnsi"/>
          <w:sz w:val="24"/>
          <w:szCs w:val="24"/>
        </w:rPr>
        <w:t xml:space="preserve">овый список БРК </w:t>
      </w:r>
      <w:r w:rsidR="00E701D9" w:rsidRPr="00976A34">
        <w:rPr>
          <w:rFonts w:cstheme="minorHAnsi"/>
          <w:sz w:val="24"/>
          <w:szCs w:val="24"/>
        </w:rPr>
        <w:t>обновился в большей степени</w:t>
      </w:r>
      <w:r w:rsidR="00EA51E7" w:rsidRPr="001736F2">
        <w:rPr>
          <w:rFonts w:cstheme="minorHAnsi"/>
          <w:sz w:val="24"/>
          <w:szCs w:val="24"/>
        </w:rPr>
        <w:t xml:space="preserve"> по сравнению с предыдущими периодами. </w:t>
      </w:r>
      <w:r w:rsidR="00042619">
        <w:rPr>
          <w:rFonts w:cstheme="minorHAnsi"/>
          <w:sz w:val="24"/>
          <w:szCs w:val="24"/>
        </w:rPr>
        <w:t>П</w:t>
      </w:r>
      <w:r w:rsidR="00042619" w:rsidRPr="00042619">
        <w:rPr>
          <w:rFonts w:cstheme="minorHAnsi"/>
          <w:sz w:val="24"/>
          <w:szCs w:val="24"/>
        </w:rPr>
        <w:t>о итогам 2017-2021 гг. сохранить высокие темпы роста и место в группе БРК сумели</w:t>
      </w:r>
      <w:r w:rsidR="00042619" w:rsidRPr="00042619" w:rsidDel="00042619">
        <w:rPr>
          <w:rFonts w:cstheme="minorHAnsi"/>
          <w:sz w:val="24"/>
          <w:szCs w:val="24"/>
        </w:rPr>
        <w:t xml:space="preserve"> </w:t>
      </w:r>
      <w:r w:rsidR="00042619">
        <w:rPr>
          <w:rFonts w:cstheme="minorHAnsi"/>
          <w:sz w:val="24"/>
          <w:szCs w:val="24"/>
        </w:rPr>
        <w:t>о</w:t>
      </w:r>
      <w:r w:rsidR="00EA51E7" w:rsidRPr="001736F2">
        <w:rPr>
          <w:rFonts w:cstheme="minorHAnsi"/>
          <w:sz w:val="24"/>
          <w:szCs w:val="24"/>
        </w:rPr>
        <w:t>коло 3</w:t>
      </w:r>
      <w:r w:rsidR="001A1730">
        <w:rPr>
          <w:rFonts w:cstheme="minorHAnsi"/>
          <w:sz w:val="24"/>
          <w:szCs w:val="24"/>
        </w:rPr>
        <w:t>4</w:t>
      </w:r>
      <w:r w:rsidR="00EA51E7" w:rsidRPr="001736F2">
        <w:rPr>
          <w:rFonts w:cstheme="minorHAnsi"/>
          <w:sz w:val="24"/>
          <w:szCs w:val="24"/>
        </w:rPr>
        <w:t>% компан</w:t>
      </w:r>
      <w:r w:rsidR="000078B0">
        <w:rPr>
          <w:rFonts w:cstheme="minorHAnsi"/>
          <w:sz w:val="24"/>
          <w:szCs w:val="24"/>
        </w:rPr>
        <w:t xml:space="preserve">ий из </w:t>
      </w:r>
      <w:r w:rsidR="005421B0">
        <w:rPr>
          <w:rFonts w:cstheme="minorHAnsi"/>
          <w:sz w:val="24"/>
          <w:szCs w:val="24"/>
        </w:rPr>
        <w:t xml:space="preserve">прошлого </w:t>
      </w:r>
      <w:r w:rsidR="000078B0">
        <w:rPr>
          <w:rFonts w:cstheme="minorHAnsi"/>
          <w:sz w:val="24"/>
          <w:szCs w:val="24"/>
        </w:rPr>
        <w:t>списка</w:t>
      </w:r>
      <w:r w:rsidR="005421B0">
        <w:rPr>
          <w:rFonts w:cstheme="minorHAnsi"/>
          <w:sz w:val="24"/>
          <w:szCs w:val="24"/>
        </w:rPr>
        <w:t>, тогда как год назад</w:t>
      </w:r>
      <w:r w:rsidR="00EA51E7" w:rsidRPr="001736F2">
        <w:rPr>
          <w:rFonts w:cstheme="minorHAnsi"/>
          <w:sz w:val="24"/>
          <w:szCs w:val="24"/>
        </w:rPr>
        <w:t xml:space="preserve"> </w:t>
      </w:r>
      <w:r w:rsidR="005421B0">
        <w:rPr>
          <w:rFonts w:cstheme="minorHAnsi"/>
          <w:sz w:val="24"/>
          <w:szCs w:val="24"/>
        </w:rPr>
        <w:t>таких насчитывалось</w:t>
      </w:r>
      <w:r w:rsidR="00EA51E7" w:rsidRPr="001736F2">
        <w:rPr>
          <w:rFonts w:cstheme="minorHAnsi"/>
          <w:sz w:val="24"/>
          <w:szCs w:val="24"/>
        </w:rPr>
        <w:t xml:space="preserve"> </w:t>
      </w:r>
      <w:r w:rsidR="001A1730">
        <w:rPr>
          <w:rFonts w:cstheme="minorHAnsi"/>
          <w:sz w:val="24"/>
          <w:szCs w:val="24"/>
        </w:rPr>
        <w:t>37</w:t>
      </w:r>
      <w:r w:rsidR="00EA51E7" w:rsidRPr="001736F2">
        <w:rPr>
          <w:rFonts w:cstheme="minorHAnsi"/>
          <w:sz w:val="24"/>
          <w:szCs w:val="24"/>
        </w:rPr>
        <w:t>%.</w:t>
      </w:r>
    </w:p>
    <w:p w14:paraId="7D2FE25D" w14:textId="41F09DC7" w:rsidR="00EA51E7" w:rsidRDefault="00191FA9" w:rsidP="00FD7D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</w:t>
      </w:r>
      <w:r w:rsidR="00EA51E7" w:rsidRPr="001736F2">
        <w:rPr>
          <w:rFonts w:cstheme="minorHAnsi"/>
          <w:sz w:val="24"/>
          <w:szCs w:val="24"/>
        </w:rPr>
        <w:t xml:space="preserve">труктура распределения компаний по группам роста оставалась относительно стабильной. </w:t>
      </w:r>
      <w:r w:rsidR="00C208B6">
        <w:rPr>
          <w:rFonts w:cstheme="minorHAnsi"/>
          <w:sz w:val="24"/>
          <w:szCs w:val="24"/>
        </w:rPr>
        <w:t>В то же время</w:t>
      </w:r>
      <w:r>
        <w:rPr>
          <w:rFonts w:cstheme="minorHAnsi"/>
          <w:sz w:val="24"/>
          <w:szCs w:val="24"/>
        </w:rPr>
        <w:t xml:space="preserve"> </w:t>
      </w:r>
      <w:r w:rsidR="00E701D9">
        <w:rPr>
          <w:rFonts w:cstheme="minorHAnsi"/>
          <w:sz w:val="24"/>
          <w:szCs w:val="24"/>
        </w:rPr>
        <w:t>увелич</w:t>
      </w:r>
      <w:r w:rsidR="00635998">
        <w:rPr>
          <w:rFonts w:cstheme="minorHAnsi"/>
          <w:sz w:val="24"/>
          <w:szCs w:val="24"/>
        </w:rPr>
        <w:t>илась</w:t>
      </w:r>
      <w:r>
        <w:rPr>
          <w:rFonts w:cstheme="minorHAnsi"/>
          <w:sz w:val="24"/>
          <w:szCs w:val="24"/>
        </w:rPr>
        <w:t xml:space="preserve"> дол</w:t>
      </w:r>
      <w:r w:rsidR="00635998">
        <w:rPr>
          <w:rFonts w:cstheme="minorHAnsi"/>
          <w:sz w:val="24"/>
          <w:szCs w:val="24"/>
        </w:rPr>
        <w:t>я</w:t>
      </w:r>
      <w:r>
        <w:rPr>
          <w:rFonts w:cstheme="minorHAnsi"/>
          <w:sz w:val="24"/>
          <w:szCs w:val="24"/>
        </w:rPr>
        <w:t xml:space="preserve"> компаний </w:t>
      </w:r>
      <w:r w:rsidR="00EA51E7" w:rsidRPr="001736F2">
        <w:rPr>
          <w:rFonts w:cstheme="minorHAnsi"/>
          <w:sz w:val="24"/>
          <w:szCs w:val="24"/>
        </w:rPr>
        <w:t>с темпами прироста выру</w:t>
      </w:r>
      <w:r>
        <w:rPr>
          <w:rFonts w:cstheme="minorHAnsi"/>
          <w:sz w:val="24"/>
          <w:szCs w:val="24"/>
        </w:rPr>
        <w:t xml:space="preserve">чки </w:t>
      </w:r>
      <w:r w:rsidR="00E701D9">
        <w:rPr>
          <w:rFonts w:cstheme="minorHAnsi"/>
          <w:sz w:val="24"/>
          <w:szCs w:val="24"/>
        </w:rPr>
        <w:t>более 20%</w:t>
      </w:r>
      <w:r w:rsidR="00E800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в год </w:t>
      </w:r>
      <w:r w:rsidR="00B94E7D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до </w:t>
      </w:r>
      <w:r w:rsidR="00E701D9">
        <w:rPr>
          <w:rFonts w:cstheme="minorHAnsi"/>
          <w:sz w:val="24"/>
          <w:szCs w:val="24"/>
        </w:rPr>
        <w:t>33</w:t>
      </w:r>
      <w:r>
        <w:rPr>
          <w:rFonts w:cstheme="minorHAnsi"/>
          <w:sz w:val="24"/>
          <w:szCs w:val="24"/>
        </w:rPr>
        <w:t>% от общего числа</w:t>
      </w:r>
      <w:r w:rsidR="00EA51E7" w:rsidRPr="001736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по сравнению с </w:t>
      </w:r>
      <w:r w:rsidR="00E701D9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%</w:t>
      </w:r>
      <w:r w:rsidR="00EA51E7" w:rsidRPr="001736F2">
        <w:rPr>
          <w:rFonts w:cstheme="minorHAnsi"/>
          <w:sz w:val="24"/>
          <w:szCs w:val="24"/>
        </w:rPr>
        <w:t xml:space="preserve"> прошлом списке</w:t>
      </w:r>
      <w:r w:rsidR="00B94E7D">
        <w:rPr>
          <w:rFonts w:cstheme="minorHAnsi"/>
          <w:sz w:val="24"/>
          <w:szCs w:val="24"/>
        </w:rPr>
        <w:t>)</w:t>
      </w:r>
      <w:r w:rsidR="00EA51E7" w:rsidRPr="001736F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635998">
        <w:rPr>
          <w:rFonts w:cstheme="minorHAnsi"/>
          <w:sz w:val="24"/>
          <w:szCs w:val="24"/>
        </w:rPr>
        <w:t>У</w:t>
      </w:r>
      <w:r w:rsidR="00EA51E7" w:rsidRPr="001736F2">
        <w:rPr>
          <w:rFonts w:cstheme="minorHAnsi"/>
          <w:sz w:val="24"/>
          <w:szCs w:val="24"/>
        </w:rPr>
        <w:t xml:space="preserve">дельный вес компаний третьей группы (10-15% в год) </w:t>
      </w:r>
      <w:r w:rsidR="00E701D9">
        <w:rPr>
          <w:rFonts w:cstheme="minorHAnsi"/>
          <w:sz w:val="24"/>
          <w:szCs w:val="24"/>
        </w:rPr>
        <w:t>остался неизменным (</w:t>
      </w:r>
      <w:r>
        <w:rPr>
          <w:rFonts w:cstheme="minorHAnsi"/>
          <w:sz w:val="24"/>
          <w:szCs w:val="24"/>
        </w:rPr>
        <w:t>43</w:t>
      </w:r>
      <w:r w:rsidR="00EA51E7" w:rsidRPr="001736F2">
        <w:rPr>
          <w:rFonts w:cstheme="minorHAnsi"/>
          <w:sz w:val="24"/>
          <w:szCs w:val="24"/>
        </w:rPr>
        <w:t>%</w:t>
      </w:r>
      <w:r w:rsidR="00E701D9">
        <w:rPr>
          <w:rFonts w:cstheme="minorHAnsi"/>
          <w:sz w:val="24"/>
          <w:szCs w:val="24"/>
        </w:rPr>
        <w:t>).</w:t>
      </w:r>
    </w:p>
    <w:p w14:paraId="37ED6961" w14:textId="15C437BB" w:rsidR="00635998" w:rsidRDefault="008672C0" w:rsidP="00782875">
      <w:pPr>
        <w:jc w:val="both"/>
        <w:rPr>
          <w:color w:val="1F497D"/>
        </w:rPr>
      </w:pPr>
      <w:r>
        <w:rPr>
          <w:rFonts w:cstheme="minorHAnsi"/>
          <w:sz w:val="24"/>
          <w:szCs w:val="24"/>
        </w:rPr>
        <w:t xml:space="preserve">Вновь </w:t>
      </w:r>
      <w:r w:rsidR="00B94E7D">
        <w:rPr>
          <w:rFonts w:cstheme="minorHAnsi"/>
          <w:sz w:val="24"/>
          <w:szCs w:val="24"/>
        </w:rPr>
        <w:t xml:space="preserve">снизилась доля крупных компаний в числе БРК, которая составила 28% по сравнению с 33% год назад. </w:t>
      </w:r>
      <w:r>
        <w:rPr>
          <w:rFonts w:cstheme="minorHAnsi"/>
          <w:sz w:val="24"/>
          <w:szCs w:val="24"/>
        </w:rPr>
        <w:t xml:space="preserve">То есть дальнейший </w:t>
      </w:r>
      <w:r w:rsidRPr="00782875">
        <w:rPr>
          <w:rFonts w:cstheme="minorHAnsi"/>
          <w:b/>
          <w:bCs/>
          <w:sz w:val="24"/>
          <w:szCs w:val="24"/>
        </w:rPr>
        <w:t>рост числа БРК происходи</w:t>
      </w:r>
      <w:r w:rsidR="007F1EDD" w:rsidRPr="00782875">
        <w:rPr>
          <w:rFonts w:cstheme="minorHAnsi"/>
          <w:b/>
          <w:bCs/>
          <w:sz w:val="24"/>
          <w:szCs w:val="24"/>
        </w:rPr>
        <w:t>л</w:t>
      </w:r>
      <w:r w:rsidRPr="00782875">
        <w:rPr>
          <w:rFonts w:cstheme="minorHAnsi"/>
          <w:b/>
          <w:bCs/>
          <w:sz w:val="24"/>
          <w:szCs w:val="24"/>
        </w:rPr>
        <w:t xml:space="preserve"> </w:t>
      </w:r>
      <w:r w:rsidR="00C208B6" w:rsidRPr="00782875">
        <w:rPr>
          <w:rFonts w:cstheme="minorHAnsi"/>
          <w:b/>
          <w:bCs/>
          <w:sz w:val="24"/>
          <w:szCs w:val="24"/>
        </w:rPr>
        <w:t xml:space="preserve">в основном </w:t>
      </w:r>
      <w:r w:rsidRPr="00782875">
        <w:rPr>
          <w:rFonts w:cstheme="minorHAnsi"/>
          <w:b/>
          <w:bCs/>
          <w:sz w:val="24"/>
          <w:szCs w:val="24"/>
        </w:rPr>
        <w:t>за счет среднего и малого бизнеса</w:t>
      </w:r>
      <w:r>
        <w:rPr>
          <w:rFonts w:cstheme="minorHAnsi"/>
          <w:sz w:val="24"/>
          <w:szCs w:val="24"/>
        </w:rPr>
        <w:t>.</w:t>
      </w:r>
      <w:r w:rsidR="00C430F4">
        <w:rPr>
          <w:rFonts w:cstheme="minorHAnsi"/>
          <w:sz w:val="24"/>
          <w:szCs w:val="24"/>
        </w:rPr>
        <w:t xml:space="preserve"> </w:t>
      </w:r>
      <w:r w:rsidR="00635998">
        <w:rPr>
          <w:rFonts w:cstheme="minorHAnsi"/>
          <w:sz w:val="24"/>
          <w:szCs w:val="24"/>
        </w:rPr>
        <w:t>Правда</w:t>
      </w:r>
      <w:r w:rsidR="00E80004">
        <w:rPr>
          <w:rFonts w:cstheme="minorHAnsi"/>
          <w:sz w:val="24"/>
          <w:szCs w:val="24"/>
        </w:rPr>
        <w:t>,</w:t>
      </w:r>
      <w:r w:rsidR="00B94E7D">
        <w:rPr>
          <w:rFonts w:cstheme="minorHAnsi"/>
          <w:sz w:val="24"/>
          <w:szCs w:val="24"/>
        </w:rPr>
        <w:t xml:space="preserve"> в группе компаний с самыми высокими темпами роста удельный вес крупных компаний</w:t>
      </w:r>
      <w:r>
        <w:rPr>
          <w:rFonts w:cstheme="minorHAnsi"/>
          <w:sz w:val="24"/>
          <w:szCs w:val="24"/>
        </w:rPr>
        <w:t xml:space="preserve"> </w:t>
      </w:r>
      <w:r w:rsidR="00C208B6">
        <w:rPr>
          <w:rFonts w:cstheme="minorHAnsi"/>
          <w:sz w:val="24"/>
          <w:szCs w:val="24"/>
        </w:rPr>
        <w:t>все же</w:t>
      </w:r>
      <w:r>
        <w:rPr>
          <w:rFonts w:cstheme="minorHAnsi"/>
          <w:sz w:val="24"/>
          <w:szCs w:val="24"/>
        </w:rPr>
        <w:t xml:space="preserve"> увеличился – с 45</w:t>
      </w:r>
      <w:r w:rsidR="00B94E7D">
        <w:rPr>
          <w:rFonts w:cstheme="minorHAnsi"/>
          <w:sz w:val="24"/>
          <w:szCs w:val="24"/>
        </w:rPr>
        <w:t xml:space="preserve">% до </w:t>
      </w:r>
      <w:r>
        <w:rPr>
          <w:rFonts w:cstheme="minorHAnsi"/>
          <w:sz w:val="24"/>
          <w:szCs w:val="24"/>
        </w:rPr>
        <w:t>50</w:t>
      </w:r>
      <w:r w:rsidR="00B94E7D">
        <w:rPr>
          <w:rFonts w:cstheme="minorHAnsi"/>
          <w:sz w:val="24"/>
          <w:szCs w:val="24"/>
        </w:rPr>
        <w:t xml:space="preserve">%. </w:t>
      </w: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402"/>
        <w:gridCol w:w="1402"/>
        <w:gridCol w:w="1402"/>
      </w:tblGrid>
      <w:tr w:rsidR="00635998" w14:paraId="5D8BF0A9" w14:textId="77777777" w:rsidTr="00635998">
        <w:trPr>
          <w:trHeight w:val="300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081B6" w14:textId="77777777" w:rsidR="00635998" w:rsidRDefault="00635998">
            <w:pPr>
              <w:rPr>
                <w:color w:val="1F497D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CE3EF" w14:textId="77777777" w:rsidR="00635998" w:rsidRDefault="0063599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2015-2019 гг.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0FFDF" w14:textId="77777777" w:rsidR="00635998" w:rsidRDefault="00635998">
            <w:pPr>
              <w:rPr>
                <w:rFonts w:ascii="Calibri" w:hAnsi="Calibri" w:cs="Calibri"/>
                <w:lang w:eastAsia="ru-RU"/>
              </w:rPr>
            </w:pPr>
            <w:r>
              <w:rPr>
                <w:lang w:eastAsia="ru-RU"/>
              </w:rPr>
              <w:t>2016-2020 гг.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4E2C2" w14:textId="77777777" w:rsidR="00635998" w:rsidRDefault="00635998">
            <w:pPr>
              <w:rPr>
                <w:lang w:eastAsia="ru-RU"/>
              </w:rPr>
            </w:pPr>
            <w:r>
              <w:rPr>
                <w:lang w:eastAsia="ru-RU"/>
              </w:rPr>
              <w:t>2017-2021 гг.</w:t>
            </w:r>
          </w:p>
        </w:tc>
      </w:tr>
      <w:tr w:rsidR="00635998" w14:paraId="6D40A1E6" w14:textId="77777777" w:rsidTr="00635998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C6879" w14:textId="77777777" w:rsidR="00635998" w:rsidRDefault="0063599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Крупные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0C511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51895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CEC43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344</w:t>
            </w:r>
          </w:p>
        </w:tc>
      </w:tr>
      <w:tr w:rsidR="00635998" w14:paraId="09925AB8" w14:textId="77777777" w:rsidTr="00635998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FF368" w14:textId="77777777" w:rsidR="00635998" w:rsidRDefault="0063599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Средние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9CA8E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C6108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0359A1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441</w:t>
            </w:r>
          </w:p>
        </w:tc>
      </w:tr>
      <w:tr w:rsidR="00635998" w14:paraId="67E0CF8C" w14:textId="77777777" w:rsidTr="00635998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F0788" w14:textId="77777777" w:rsidR="00635998" w:rsidRDefault="00635998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Малые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C0B936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E0710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1BE5D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442</w:t>
            </w:r>
          </w:p>
        </w:tc>
      </w:tr>
      <w:tr w:rsidR="00635998" w14:paraId="17524919" w14:textId="77777777" w:rsidTr="00635998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71EED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A479B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9F986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65908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1227</w:t>
            </w:r>
          </w:p>
        </w:tc>
      </w:tr>
      <w:tr w:rsidR="00635998" w14:paraId="57CEBAC2" w14:textId="77777777" w:rsidTr="00635998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AF89B" w14:textId="77777777" w:rsidR="00635998" w:rsidRDefault="00635998">
            <w:pPr>
              <w:rPr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038CF" w14:textId="77777777" w:rsidR="00635998" w:rsidRDefault="00635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0499E" w14:textId="77777777" w:rsidR="00635998" w:rsidRDefault="00635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52C3B" w14:textId="77777777" w:rsidR="00635998" w:rsidRDefault="006359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998" w14:paraId="626CD20B" w14:textId="77777777" w:rsidTr="00635998">
        <w:trPr>
          <w:trHeight w:val="300"/>
        </w:trPr>
        <w:tc>
          <w:tcPr>
            <w:tcW w:w="1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F90D3" w14:textId="77777777" w:rsidR="00635998" w:rsidRDefault="00635998">
            <w:pPr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Доля МСП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3BB28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FB276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67%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E5D43" w14:textId="77777777" w:rsidR="00635998" w:rsidRDefault="00635998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72%</w:t>
            </w:r>
          </w:p>
        </w:tc>
      </w:tr>
    </w:tbl>
    <w:p w14:paraId="03C2CFD5" w14:textId="77777777" w:rsidR="00635998" w:rsidRDefault="00635998" w:rsidP="00635998">
      <w:pPr>
        <w:rPr>
          <w:rFonts w:ascii="Calibri" w:hAnsi="Calibri" w:cs="Calibri"/>
          <w:color w:val="1F497D"/>
        </w:rPr>
      </w:pPr>
    </w:p>
    <w:p w14:paraId="63ABDE11" w14:textId="0BB412A6" w:rsidR="005E3FB6" w:rsidRDefault="00635998" w:rsidP="005962E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Есть</w:t>
      </w:r>
      <w:r w:rsidR="00873875">
        <w:rPr>
          <w:rFonts w:cstheme="minorHAnsi"/>
          <w:sz w:val="24"/>
          <w:szCs w:val="24"/>
        </w:rPr>
        <w:t xml:space="preserve"> </w:t>
      </w:r>
      <w:r w:rsidR="00EA51E7" w:rsidRPr="001736F2">
        <w:rPr>
          <w:rFonts w:cstheme="minorHAnsi"/>
          <w:sz w:val="24"/>
          <w:szCs w:val="24"/>
        </w:rPr>
        <w:t xml:space="preserve">изменения </w:t>
      </w:r>
      <w:r>
        <w:rPr>
          <w:rFonts w:cstheme="minorHAnsi"/>
          <w:sz w:val="24"/>
          <w:szCs w:val="24"/>
        </w:rPr>
        <w:t xml:space="preserve">и </w:t>
      </w:r>
      <w:r w:rsidR="00EA51E7" w:rsidRPr="001736F2">
        <w:rPr>
          <w:rFonts w:cstheme="minorHAnsi"/>
          <w:sz w:val="24"/>
          <w:szCs w:val="24"/>
        </w:rPr>
        <w:t xml:space="preserve">в динамике </w:t>
      </w:r>
      <w:r w:rsidR="00873875">
        <w:rPr>
          <w:rFonts w:cstheme="minorHAnsi"/>
          <w:sz w:val="24"/>
          <w:szCs w:val="24"/>
        </w:rPr>
        <w:t>средних финансовых показателей</w:t>
      </w:r>
      <w:r w:rsidR="00EA51E7" w:rsidRPr="001736F2">
        <w:rPr>
          <w:rFonts w:cstheme="minorHAnsi"/>
          <w:sz w:val="24"/>
          <w:szCs w:val="24"/>
        </w:rPr>
        <w:t xml:space="preserve">. </w:t>
      </w:r>
      <w:r w:rsidR="00873875">
        <w:rPr>
          <w:rFonts w:cstheme="minorHAnsi"/>
          <w:sz w:val="24"/>
          <w:szCs w:val="24"/>
        </w:rPr>
        <w:t xml:space="preserve">Несколько </w:t>
      </w:r>
      <w:r w:rsidR="005E3FB6">
        <w:rPr>
          <w:rFonts w:cstheme="minorHAnsi"/>
          <w:sz w:val="24"/>
          <w:szCs w:val="24"/>
        </w:rPr>
        <w:t xml:space="preserve">сократились </w:t>
      </w:r>
      <w:r w:rsidR="00EA51E7" w:rsidRPr="001736F2">
        <w:rPr>
          <w:rFonts w:cstheme="minorHAnsi"/>
          <w:sz w:val="24"/>
          <w:szCs w:val="24"/>
        </w:rPr>
        <w:t>среднегодовые тем</w:t>
      </w:r>
      <w:r w:rsidR="00E80004">
        <w:rPr>
          <w:rFonts w:cstheme="minorHAnsi"/>
          <w:sz w:val="24"/>
          <w:szCs w:val="24"/>
        </w:rPr>
        <w:t>п</w:t>
      </w:r>
      <w:r w:rsidR="00EA51E7" w:rsidRPr="001736F2">
        <w:rPr>
          <w:rFonts w:cstheme="minorHAnsi"/>
          <w:sz w:val="24"/>
          <w:szCs w:val="24"/>
        </w:rPr>
        <w:t xml:space="preserve">ы прироста чистой прибыли (с </w:t>
      </w:r>
      <w:r w:rsidR="005E3FB6">
        <w:rPr>
          <w:rFonts w:cstheme="minorHAnsi"/>
          <w:sz w:val="24"/>
          <w:szCs w:val="24"/>
        </w:rPr>
        <w:t>50</w:t>
      </w:r>
      <w:r w:rsidR="00EA51E7" w:rsidRPr="001736F2">
        <w:rPr>
          <w:rFonts w:cstheme="minorHAnsi"/>
          <w:sz w:val="24"/>
          <w:szCs w:val="24"/>
        </w:rPr>
        <w:t xml:space="preserve">% до </w:t>
      </w:r>
      <w:r w:rsidR="005E3FB6">
        <w:rPr>
          <w:rFonts w:cstheme="minorHAnsi"/>
          <w:sz w:val="24"/>
          <w:szCs w:val="24"/>
        </w:rPr>
        <w:t>43</w:t>
      </w:r>
      <w:r w:rsidR="00EA51E7" w:rsidRPr="001736F2">
        <w:rPr>
          <w:rFonts w:cstheme="minorHAnsi"/>
          <w:sz w:val="24"/>
          <w:szCs w:val="24"/>
        </w:rPr>
        <w:t xml:space="preserve">%) при </w:t>
      </w:r>
      <w:r w:rsidR="005E3FB6">
        <w:rPr>
          <w:rFonts w:cstheme="minorHAnsi"/>
          <w:sz w:val="24"/>
          <w:szCs w:val="24"/>
        </w:rPr>
        <w:t>существенном</w:t>
      </w:r>
      <w:r w:rsidR="00EA51E7" w:rsidRPr="001736F2">
        <w:rPr>
          <w:rFonts w:cstheme="minorHAnsi"/>
          <w:sz w:val="24"/>
          <w:szCs w:val="24"/>
        </w:rPr>
        <w:t xml:space="preserve"> </w:t>
      </w:r>
      <w:r w:rsidR="00873875">
        <w:rPr>
          <w:rFonts w:cstheme="minorHAnsi"/>
          <w:sz w:val="24"/>
          <w:szCs w:val="24"/>
        </w:rPr>
        <w:t xml:space="preserve">снижении </w:t>
      </w:r>
      <w:r w:rsidR="00EA51E7" w:rsidRPr="001736F2">
        <w:rPr>
          <w:rFonts w:cstheme="minorHAnsi"/>
          <w:sz w:val="24"/>
          <w:szCs w:val="24"/>
        </w:rPr>
        <w:t>темпов прироста выручки</w:t>
      </w:r>
      <w:r w:rsidR="00E80004">
        <w:rPr>
          <w:rFonts w:cstheme="minorHAnsi"/>
          <w:sz w:val="24"/>
          <w:szCs w:val="24"/>
        </w:rPr>
        <w:t xml:space="preserve"> –</w:t>
      </w:r>
      <w:r w:rsidR="00EA51E7" w:rsidRPr="001736F2">
        <w:rPr>
          <w:rFonts w:cstheme="minorHAnsi"/>
          <w:sz w:val="24"/>
          <w:szCs w:val="24"/>
        </w:rPr>
        <w:t xml:space="preserve"> </w:t>
      </w:r>
      <w:r w:rsidR="00873875">
        <w:rPr>
          <w:rFonts w:cstheme="minorHAnsi"/>
          <w:sz w:val="24"/>
          <w:szCs w:val="24"/>
        </w:rPr>
        <w:t xml:space="preserve">до </w:t>
      </w:r>
      <w:r w:rsidR="005E3FB6">
        <w:rPr>
          <w:rFonts w:cstheme="minorHAnsi"/>
          <w:sz w:val="24"/>
          <w:szCs w:val="24"/>
        </w:rPr>
        <w:t>31</w:t>
      </w:r>
      <w:r w:rsidR="00EA51E7" w:rsidRPr="001736F2">
        <w:rPr>
          <w:rFonts w:cstheme="minorHAnsi"/>
          <w:sz w:val="24"/>
          <w:szCs w:val="24"/>
        </w:rPr>
        <w:t xml:space="preserve">% </w:t>
      </w:r>
      <w:r w:rsidR="003B5BB8">
        <w:rPr>
          <w:rFonts w:cstheme="minorHAnsi"/>
          <w:sz w:val="24"/>
          <w:szCs w:val="24"/>
        </w:rPr>
        <w:t>в год</w:t>
      </w:r>
      <w:r w:rsidR="00EA51E7" w:rsidRPr="001736F2">
        <w:rPr>
          <w:rFonts w:cstheme="minorHAnsi"/>
          <w:sz w:val="24"/>
          <w:szCs w:val="24"/>
        </w:rPr>
        <w:t xml:space="preserve">. </w:t>
      </w:r>
      <w:r w:rsidR="00C208B6">
        <w:rPr>
          <w:rFonts w:cstheme="minorHAnsi"/>
          <w:sz w:val="24"/>
          <w:szCs w:val="24"/>
        </w:rPr>
        <w:t>Таким образом,</w:t>
      </w:r>
      <w:r w:rsidR="00EA51E7" w:rsidRPr="001736F2">
        <w:rPr>
          <w:rFonts w:cstheme="minorHAnsi"/>
          <w:sz w:val="24"/>
          <w:szCs w:val="24"/>
        </w:rPr>
        <w:t xml:space="preserve"> </w:t>
      </w:r>
      <w:r w:rsidR="00C208B6">
        <w:rPr>
          <w:rFonts w:cstheme="minorHAnsi"/>
          <w:sz w:val="24"/>
          <w:szCs w:val="24"/>
        </w:rPr>
        <w:t>эффективность</w:t>
      </w:r>
      <w:r w:rsidR="00EA51E7" w:rsidRPr="001736F2">
        <w:rPr>
          <w:rFonts w:cstheme="minorHAnsi"/>
          <w:sz w:val="24"/>
          <w:szCs w:val="24"/>
        </w:rPr>
        <w:t xml:space="preserve"> работы </w:t>
      </w:r>
      <w:r w:rsidR="005E3FB6">
        <w:rPr>
          <w:rFonts w:cstheme="minorHAnsi"/>
          <w:sz w:val="24"/>
          <w:szCs w:val="24"/>
        </w:rPr>
        <w:t>быстрорастущих компаний продолжала расти даже в условиях ухудшения социально-экономической ситуации, вызванно</w:t>
      </w:r>
      <w:r w:rsidR="00C208B6">
        <w:rPr>
          <w:rFonts w:cstheme="minorHAnsi"/>
          <w:sz w:val="24"/>
          <w:szCs w:val="24"/>
        </w:rPr>
        <w:t xml:space="preserve">го </w:t>
      </w:r>
      <w:r w:rsidR="005E3FB6">
        <w:rPr>
          <w:rFonts w:cstheme="minorHAnsi"/>
          <w:sz w:val="24"/>
          <w:szCs w:val="24"/>
        </w:rPr>
        <w:t>пандемией.</w:t>
      </w:r>
    </w:p>
    <w:p w14:paraId="6E8C481A" w14:textId="77777777" w:rsidR="007F1857" w:rsidRPr="009B3AE5" w:rsidRDefault="007F1857" w:rsidP="00FD1182">
      <w:pPr>
        <w:ind w:right="423"/>
        <w:rPr>
          <w:rFonts w:eastAsiaTheme="minorEastAsia" w:cstheme="minorHAnsi"/>
          <w:b/>
          <w:sz w:val="24"/>
          <w:szCs w:val="24"/>
          <w:lang w:eastAsia="ru-RU"/>
        </w:rPr>
      </w:pPr>
      <w:r w:rsidRPr="009B3AE5">
        <w:rPr>
          <w:rFonts w:eastAsiaTheme="minorEastAsia" w:cstheme="minorHAnsi"/>
          <w:b/>
          <w:sz w:val="24"/>
          <w:szCs w:val="24"/>
          <w:lang w:eastAsia="ru-RU"/>
        </w:rPr>
        <w:t>Среднегодовые темпы прироста выручки и чистой прибыли</w:t>
      </w:r>
      <w:r w:rsidRPr="009B3AE5">
        <w:rPr>
          <w:rFonts w:eastAsiaTheme="minorEastAsia" w:cstheme="minorHAnsi"/>
          <w:sz w:val="24"/>
          <w:szCs w:val="24"/>
          <w:lang w:eastAsia="ru-RU"/>
        </w:rPr>
        <w:t xml:space="preserve"> </w:t>
      </w:r>
      <w:r w:rsidRPr="009B3AE5">
        <w:rPr>
          <w:rFonts w:eastAsiaTheme="minorEastAsia" w:cstheme="minorHAnsi"/>
          <w:b/>
          <w:sz w:val="24"/>
          <w:szCs w:val="24"/>
          <w:lang w:eastAsia="ru-RU"/>
        </w:rPr>
        <w:t>«газелей»</w:t>
      </w:r>
      <w:r w:rsidRPr="009B3AE5">
        <w:rPr>
          <w:rFonts w:eastAsiaTheme="minorEastAsia" w:cstheme="minorHAnsi"/>
          <w:sz w:val="24"/>
          <w:szCs w:val="24"/>
          <w:lang w:eastAsia="ru-RU"/>
        </w:rPr>
        <w:t xml:space="preserve"> </w:t>
      </w:r>
      <w:r w:rsidRPr="009B3AE5">
        <w:rPr>
          <w:rFonts w:eastAsiaTheme="minorEastAsia" w:cstheme="minorHAnsi"/>
          <w:b/>
          <w:sz w:val="24"/>
          <w:szCs w:val="24"/>
          <w:lang w:eastAsia="ru-RU"/>
        </w:rPr>
        <w:t>(в постоянных ценах)</w:t>
      </w:r>
    </w:p>
    <w:p w14:paraId="16B71046" w14:textId="77777777" w:rsidR="007F1857" w:rsidRPr="009B3AE5" w:rsidRDefault="001D2431" w:rsidP="007F1857">
      <w:pPr>
        <w:jc w:val="center"/>
        <w:rPr>
          <w:rFonts w:eastAsiaTheme="minorEastAsia" w:cstheme="minorHAnsi"/>
          <w:sz w:val="24"/>
          <w:szCs w:val="24"/>
          <w:lang w:eastAsia="ru-RU"/>
        </w:rPr>
      </w:pPr>
      <w:r>
        <w:rPr>
          <w:rFonts w:eastAsiaTheme="minorEastAsia" w:cstheme="minorHAnsi"/>
          <w:noProof/>
          <w:sz w:val="24"/>
          <w:szCs w:val="24"/>
          <w:lang w:eastAsia="ru-RU"/>
        </w:rPr>
        <w:drawing>
          <wp:inline distT="0" distB="0" distL="0" distR="0" wp14:anchorId="72084B6B" wp14:editId="43423963">
            <wp:extent cx="457962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8069B" w14:textId="77777777" w:rsidR="007F1857" w:rsidRPr="003B5BB8" w:rsidRDefault="007F1857" w:rsidP="007F1857">
      <w:pPr>
        <w:rPr>
          <w:rFonts w:eastAsiaTheme="minorEastAsia" w:cstheme="minorHAnsi"/>
          <w:i/>
          <w:sz w:val="24"/>
          <w:szCs w:val="24"/>
          <w:vertAlign w:val="superscript"/>
          <w:lang w:eastAsia="ru-RU"/>
        </w:rPr>
      </w:pPr>
      <w:r w:rsidRPr="003B5BB8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Источн</w:t>
      </w:r>
      <w:r w:rsidR="00750778" w:rsidRPr="003B5BB8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ик:</w:t>
      </w:r>
      <w:r w:rsidR="00D2765C" w:rsidRPr="003B5BB8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 xml:space="preserve"> «</w:t>
      </w:r>
      <w:r w:rsidR="00750778" w:rsidRPr="003B5BB8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СПАРК</w:t>
      </w:r>
      <w:r w:rsidR="00D2765C" w:rsidRPr="003B5BB8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-Интерфакс»</w:t>
      </w:r>
    </w:p>
    <w:p w14:paraId="51220C20" w14:textId="56948E2B" w:rsidR="001411D3" w:rsidRPr="001736F2" w:rsidRDefault="001411D3" w:rsidP="00042619">
      <w:pPr>
        <w:jc w:val="both"/>
      </w:pPr>
      <w:r w:rsidRPr="001736F2">
        <w:t>Оценка уровня долговой нагрузки у быстрорастущих компаний показывает, что достижение высоких темпов</w:t>
      </w:r>
      <w:r w:rsidR="00042619">
        <w:t xml:space="preserve"> роста</w:t>
      </w:r>
      <w:r w:rsidRPr="001736F2">
        <w:t>, как</w:t>
      </w:r>
      <w:r w:rsidR="00F650FD">
        <w:t xml:space="preserve"> и в прошлые периоды</w:t>
      </w:r>
      <w:r w:rsidRPr="001736F2">
        <w:t>, обеспечива</w:t>
      </w:r>
      <w:r w:rsidR="00F650FD">
        <w:t xml:space="preserve">лось </w:t>
      </w:r>
      <w:r w:rsidRPr="001736F2">
        <w:t xml:space="preserve">за счет опоры на собственные ресурсы, а не </w:t>
      </w:r>
      <w:r w:rsidR="00042619">
        <w:t xml:space="preserve">на </w:t>
      </w:r>
      <w:r w:rsidR="00042619" w:rsidRPr="001736F2">
        <w:t>привлечени</w:t>
      </w:r>
      <w:r w:rsidR="00042619">
        <w:t>е</w:t>
      </w:r>
      <w:r w:rsidR="00042619" w:rsidRPr="001736F2">
        <w:t xml:space="preserve"> </w:t>
      </w:r>
      <w:r w:rsidRPr="001736F2">
        <w:t>заемных средств. Отношение чистого долга к EBIT у компаний из новог</w:t>
      </w:r>
      <w:r w:rsidR="00EA1E75">
        <w:t>о списка составило в среднем 0,</w:t>
      </w:r>
      <w:r w:rsidR="0098781C">
        <w:t>4</w:t>
      </w:r>
      <w:r w:rsidRPr="001736F2">
        <w:t xml:space="preserve">х в конце периода по сравнению с </w:t>
      </w:r>
      <w:r w:rsidR="00EA1E75">
        <w:t>0,</w:t>
      </w:r>
      <w:r w:rsidR="0098781C">
        <w:t>6</w:t>
      </w:r>
      <w:r w:rsidRPr="001736F2">
        <w:t>х у компаний из прошлогоднего списка.</w:t>
      </w:r>
    </w:p>
    <w:p w14:paraId="2237FAB9" w14:textId="77777777" w:rsidR="007F1857" w:rsidRPr="001736F2" w:rsidRDefault="007F1857" w:rsidP="00042619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outlineLvl w:val="0"/>
        <w:rPr>
          <w:rFonts w:eastAsiaTheme="minorEastAsia" w:cstheme="minorHAnsi"/>
          <w:b/>
          <w:sz w:val="24"/>
          <w:szCs w:val="24"/>
          <w:lang w:eastAsia="ru-RU"/>
        </w:rPr>
      </w:pPr>
    </w:p>
    <w:p w14:paraId="589A4F8A" w14:textId="77777777" w:rsidR="007F1857" w:rsidRPr="001736F2" w:rsidRDefault="00753200" w:rsidP="00FD1182">
      <w:pPr>
        <w:widowControl w:val="0"/>
        <w:autoSpaceDE w:val="0"/>
        <w:autoSpaceDN w:val="0"/>
        <w:adjustRightInd w:val="0"/>
        <w:spacing w:after="0" w:line="240" w:lineRule="auto"/>
        <w:ind w:right="423"/>
        <w:outlineLvl w:val="0"/>
        <w:rPr>
          <w:rFonts w:eastAsiaTheme="minorEastAsia" w:cstheme="minorHAnsi"/>
          <w:b/>
          <w:sz w:val="24"/>
          <w:szCs w:val="24"/>
          <w:lang w:eastAsia="ru-RU"/>
        </w:rPr>
      </w:pPr>
      <w:r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Самые </w:t>
      </w:r>
      <w:r w:rsidR="00431280" w:rsidRPr="001736F2">
        <w:rPr>
          <w:rFonts w:eastAsiaTheme="minorEastAsia" w:cstheme="minorHAnsi"/>
          <w:b/>
          <w:sz w:val="24"/>
          <w:szCs w:val="24"/>
          <w:lang w:eastAsia="ru-RU"/>
        </w:rPr>
        <w:t>перспективные</w:t>
      </w:r>
      <w:r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 рынки</w:t>
      </w:r>
    </w:p>
    <w:p w14:paraId="32EA5426" w14:textId="77777777" w:rsidR="007F1857" w:rsidRPr="001736F2" w:rsidRDefault="007F1857" w:rsidP="00FD1182">
      <w:pPr>
        <w:ind w:right="423"/>
        <w:jc w:val="both"/>
        <w:rPr>
          <w:rFonts w:eastAsiaTheme="minorEastAsia" w:cstheme="minorHAnsi"/>
          <w:sz w:val="24"/>
          <w:szCs w:val="24"/>
          <w:lang w:eastAsia="ru-RU"/>
        </w:rPr>
      </w:pPr>
    </w:p>
    <w:p w14:paraId="62AB08AC" w14:textId="5B9414E6" w:rsidR="001411D3" w:rsidRPr="001736F2" w:rsidRDefault="001411D3" w:rsidP="005962EB">
      <w:pPr>
        <w:jc w:val="both"/>
      </w:pPr>
      <w:r w:rsidRPr="001736F2">
        <w:t xml:space="preserve">Группировка компаний по взаимосвязанным сегментам бизнеса, которые объединяют БРК </w:t>
      </w:r>
      <w:r w:rsidR="003B5BB8">
        <w:t>различных направлений деятельности</w:t>
      </w:r>
      <w:r w:rsidRPr="001736F2">
        <w:t xml:space="preserve">, </w:t>
      </w:r>
      <w:r w:rsidR="00B75529">
        <w:t>вновь продемонстрировала</w:t>
      </w:r>
      <w:r w:rsidRPr="001736F2">
        <w:t xml:space="preserve"> относительн</w:t>
      </w:r>
      <w:r w:rsidR="00745995">
        <w:t>ую стабильность</w:t>
      </w:r>
      <w:r w:rsidRPr="001736F2">
        <w:t xml:space="preserve"> </w:t>
      </w:r>
      <w:r w:rsidR="00440F38">
        <w:t>в списке</w:t>
      </w:r>
      <w:r w:rsidRPr="001736F2">
        <w:t xml:space="preserve"> видов бизнеса, где успешно развиваются </w:t>
      </w:r>
      <w:r w:rsidR="00042619">
        <w:t>«</w:t>
      </w:r>
      <w:r w:rsidR="00021A82">
        <w:t>г</w:t>
      </w:r>
      <w:r w:rsidRPr="001736F2">
        <w:t>азели</w:t>
      </w:r>
      <w:r w:rsidR="00042619">
        <w:t>»</w:t>
      </w:r>
      <w:r w:rsidR="00042619" w:rsidRPr="001736F2">
        <w:t>.</w:t>
      </w:r>
      <w:r w:rsidR="00042619">
        <w:t xml:space="preserve"> </w:t>
      </w:r>
      <w:r w:rsidR="00021A82">
        <w:t xml:space="preserve">В то же время пандемия </w:t>
      </w:r>
      <w:r w:rsidR="00745995">
        <w:t>не могла не внести</w:t>
      </w:r>
      <w:r w:rsidR="00021A82">
        <w:t xml:space="preserve"> определенные коррективы.</w:t>
      </w:r>
    </w:p>
    <w:p w14:paraId="5678AAA4" w14:textId="22AC1F50" w:rsidR="00D46701" w:rsidRPr="00D46701" w:rsidRDefault="00021A82" w:rsidP="00D46701">
      <w:pPr>
        <w:jc w:val="both"/>
        <w:rPr>
          <w:rFonts w:ascii="Times New Roman" w:hAnsi="Times New Roman" w:cs="Times New Roman"/>
        </w:rPr>
      </w:pPr>
      <w:r w:rsidRPr="008D49B4">
        <w:rPr>
          <w:b/>
          <w:bCs/>
        </w:rPr>
        <w:t>А</w:t>
      </w:r>
      <w:r w:rsidR="00440F38" w:rsidRPr="008D49B4">
        <w:rPr>
          <w:b/>
          <w:bCs/>
        </w:rPr>
        <w:t>гропромышленный бизнес</w:t>
      </w:r>
      <w:r w:rsidR="00440F38">
        <w:t xml:space="preserve"> </w:t>
      </w:r>
      <w:r w:rsidR="00745995">
        <w:t>сохранил</w:t>
      </w:r>
      <w:r>
        <w:t xml:space="preserve"> свои доминирующие позиции. Его доля </w:t>
      </w:r>
      <w:r w:rsidR="00745995">
        <w:t>составила 17</w:t>
      </w:r>
      <w:r w:rsidRPr="001736F2">
        <w:t>%</w:t>
      </w:r>
      <w:r w:rsidR="00745995">
        <w:t xml:space="preserve"> </w:t>
      </w:r>
      <w:r w:rsidR="008D49B4" w:rsidRPr="008D49B4">
        <w:t>по сравнению с 18% в исследовании по итогам 2016-2020 гг.</w:t>
      </w:r>
      <w:r w:rsidR="008D49B4">
        <w:t xml:space="preserve"> </w:t>
      </w:r>
      <w:r w:rsidR="00655EBB">
        <w:t xml:space="preserve">Очевидно, что АПК останется </w:t>
      </w:r>
      <w:r w:rsidR="000A6B9E">
        <w:t xml:space="preserve">основным </w:t>
      </w:r>
      <w:r w:rsidR="00655EBB">
        <w:t xml:space="preserve">сегментом бизнеса, где будут развиваться «газели». Поскольку сектор ориентируется прежде всего на удовлетворение стабильного внутреннего спроса, влияние санкций будет иметь ограниченный характер. Агропром, располагая </w:t>
      </w:r>
      <w:r w:rsidR="00CE6A3B">
        <w:t xml:space="preserve">существенной государственной поддержкой, продолжает </w:t>
      </w:r>
      <w:r w:rsidR="007F1EDD">
        <w:t xml:space="preserve">даже в новых условиях </w:t>
      </w:r>
      <w:r w:rsidR="00D46701">
        <w:t xml:space="preserve">демонстрировать </w:t>
      </w:r>
      <w:r w:rsidR="00CE6A3B">
        <w:t xml:space="preserve">хорошую финансовую устойчивость. </w:t>
      </w:r>
      <w:r w:rsidR="00D46701">
        <w:t>Этому способствуют</w:t>
      </w:r>
      <w:r w:rsidR="007F1EDD">
        <w:t xml:space="preserve"> устойчивый спрос на продукцию,</w:t>
      </w:r>
      <w:r w:rsidR="00D46701">
        <w:t xml:space="preserve"> </w:t>
      </w:r>
      <w:r w:rsidR="007F1EDD">
        <w:t>заметное снижение долгового бремени, высокая рентабельность сельского хозяйства и рыболовства (норма чистой прибыли</w:t>
      </w:r>
      <w:r w:rsidR="000A6B9E">
        <w:t xml:space="preserve"> –</w:t>
      </w:r>
      <w:r w:rsidR="007F1EDD">
        <w:t xml:space="preserve"> 19% и 23% в 2021 г.), скачок мировых цен на продовольствие, </w:t>
      </w:r>
      <w:r w:rsidR="000A6B9E">
        <w:t>который позволял</w:t>
      </w:r>
      <w:r w:rsidR="007F1EDD">
        <w:t xml:space="preserve"> </w:t>
      </w:r>
      <w:r w:rsidR="00D46701">
        <w:t>сохран</w:t>
      </w:r>
      <w:r w:rsidR="007F1EDD">
        <w:t>ять</w:t>
      </w:r>
      <w:r w:rsidR="00D46701">
        <w:t xml:space="preserve"> </w:t>
      </w:r>
      <w:r w:rsidR="000A6B9E">
        <w:t xml:space="preserve">прибыльность </w:t>
      </w:r>
      <w:r w:rsidR="00D46701">
        <w:t xml:space="preserve">бизнеса в последние месяцы. </w:t>
      </w:r>
      <w:r w:rsidR="00D46701" w:rsidRPr="00D46701">
        <w:t>Между тем</w:t>
      </w:r>
      <w:r w:rsidR="00D46701">
        <w:t xml:space="preserve"> АПК</w:t>
      </w:r>
      <w:r w:rsidR="00D46701" w:rsidRPr="00D46701">
        <w:t xml:space="preserve"> </w:t>
      </w:r>
      <w:r w:rsidR="00783485">
        <w:t xml:space="preserve">вынужден </w:t>
      </w:r>
      <w:r w:rsidR="00D46701" w:rsidRPr="00D46701">
        <w:t>противостоять существенному росту издержек производства из-за скачка цен на топливо, минеральные удобрения, комбикорма</w:t>
      </w:r>
      <w:r w:rsidR="00783485">
        <w:t>, а также временным трудностям в обеспечении запчастями и оборудованием</w:t>
      </w:r>
      <w:r w:rsidR="00D46701" w:rsidRPr="00D46701">
        <w:t>.</w:t>
      </w:r>
      <w:r w:rsidR="00783485">
        <w:t xml:space="preserve"> </w:t>
      </w:r>
      <w:r w:rsidR="004A0885">
        <w:t>Воздействие этих не</w:t>
      </w:r>
      <w:r w:rsidR="008D49B4">
        <w:t>благоприятных</w:t>
      </w:r>
      <w:r w:rsidR="004A0885">
        <w:t xml:space="preserve"> факторов</w:t>
      </w:r>
      <w:r w:rsidR="00783485">
        <w:t xml:space="preserve"> уже </w:t>
      </w:r>
      <w:r w:rsidR="00783485">
        <w:lastRenderedPageBreak/>
        <w:t>проявля</w:t>
      </w:r>
      <w:r w:rsidR="004A0885">
        <w:t>е</w:t>
      </w:r>
      <w:r w:rsidR="00783485">
        <w:t>тся</w:t>
      </w:r>
      <w:r w:rsidR="007F1EDD">
        <w:t xml:space="preserve"> в таких негативных тенденциях, как</w:t>
      </w:r>
      <w:r w:rsidR="00783485">
        <w:t xml:space="preserve"> незначительно</w:t>
      </w:r>
      <w:r w:rsidR="007F1EDD">
        <w:t>е</w:t>
      </w:r>
      <w:r w:rsidR="00783485">
        <w:t xml:space="preserve"> снижени</w:t>
      </w:r>
      <w:r w:rsidR="007F1EDD">
        <w:t>е</w:t>
      </w:r>
      <w:r w:rsidR="00783485">
        <w:t xml:space="preserve"> объемов выручки</w:t>
      </w:r>
      <w:r w:rsidR="004A0885">
        <w:t xml:space="preserve"> компаний АПК</w:t>
      </w:r>
      <w:r w:rsidR="007F1EDD">
        <w:t xml:space="preserve"> и </w:t>
      </w:r>
      <w:r w:rsidR="00783485">
        <w:t>некоторо</w:t>
      </w:r>
      <w:r w:rsidR="007F1EDD">
        <w:t>е</w:t>
      </w:r>
      <w:r w:rsidR="00783485">
        <w:t xml:space="preserve"> ухудшение платежной дисциплины в мае 2022 г.</w:t>
      </w:r>
      <w:r w:rsidR="00D46701" w:rsidRPr="00D46701">
        <w:t xml:space="preserve"> </w:t>
      </w:r>
    </w:p>
    <w:p w14:paraId="57F93A29" w14:textId="77777777" w:rsidR="00A025E0" w:rsidRPr="009B3AE5" w:rsidRDefault="00A025E0" w:rsidP="00A025E0">
      <w:pPr>
        <w:ind w:right="423"/>
        <w:rPr>
          <w:rFonts w:eastAsiaTheme="minorEastAsia" w:cstheme="minorHAnsi"/>
          <w:b/>
          <w:sz w:val="24"/>
          <w:szCs w:val="24"/>
          <w:lang w:eastAsia="ru-RU"/>
        </w:rPr>
      </w:pPr>
      <w:r w:rsidRPr="009B3AE5">
        <w:rPr>
          <w:rFonts w:eastAsiaTheme="minorEastAsia" w:cstheme="minorHAnsi"/>
          <w:b/>
          <w:sz w:val="24"/>
          <w:szCs w:val="24"/>
          <w:lang w:eastAsia="ru-RU"/>
        </w:rPr>
        <w:t>Распределение БРК по секторам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934"/>
        <w:gridCol w:w="934"/>
        <w:gridCol w:w="935"/>
        <w:gridCol w:w="934"/>
        <w:gridCol w:w="941"/>
      </w:tblGrid>
      <w:tr w:rsidR="00A025E0" w:rsidRPr="009B3AE5" w14:paraId="00F86175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F392E55" w14:textId="77777777" w:rsidR="00A025E0" w:rsidRPr="009B3AE5" w:rsidRDefault="00A025E0" w:rsidP="0063599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  <w:noWrap/>
            <w:hideMark/>
          </w:tcPr>
          <w:p w14:paraId="1FB33AE3" w14:textId="77777777" w:rsidR="00A025E0" w:rsidRPr="00AF5142" w:rsidRDefault="00A025E0" w:rsidP="00635998">
            <w:pPr>
              <w:rPr>
                <w:rFonts w:ascii="Calibri" w:hAnsi="Calibri" w:cs="Calibri"/>
              </w:rPr>
            </w:pPr>
            <w:r w:rsidRPr="00AF5142">
              <w:rPr>
                <w:rFonts w:ascii="Calibri" w:hAnsi="Calibri" w:cs="Calibri"/>
              </w:rPr>
              <w:t>2014-2018 гг.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39E6DF4C" w14:textId="77777777" w:rsidR="00A025E0" w:rsidRPr="00AF5142" w:rsidRDefault="00A025E0" w:rsidP="00635998">
            <w:pPr>
              <w:rPr>
                <w:rFonts w:ascii="Calibri" w:hAnsi="Calibri" w:cs="Calibri"/>
              </w:rPr>
            </w:pPr>
            <w:r w:rsidRPr="00AF5142">
              <w:rPr>
                <w:rFonts w:ascii="Calibri" w:hAnsi="Calibri" w:cs="Calibri"/>
              </w:rPr>
              <w:t>2015-2019 гг.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69112F5D" w14:textId="77777777" w:rsidR="00A025E0" w:rsidRPr="00AF5142" w:rsidRDefault="00A025E0" w:rsidP="00635998">
            <w:pPr>
              <w:rPr>
                <w:rFonts w:ascii="Calibri" w:hAnsi="Calibri" w:cs="Calibri"/>
              </w:rPr>
            </w:pPr>
            <w:r w:rsidRPr="00AF5142">
              <w:rPr>
                <w:rFonts w:ascii="Calibri" w:hAnsi="Calibri" w:cs="Calibri"/>
              </w:rPr>
              <w:t>2016-2020 гг.</w:t>
            </w:r>
          </w:p>
        </w:tc>
        <w:tc>
          <w:tcPr>
            <w:tcW w:w="934" w:type="dxa"/>
          </w:tcPr>
          <w:p w14:paraId="5352EAEF" w14:textId="77777777" w:rsidR="00A025E0" w:rsidRDefault="00A025E0" w:rsidP="006359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2017-2021 гг.</w:t>
            </w:r>
          </w:p>
          <w:p w14:paraId="2F0BBF19" w14:textId="77777777" w:rsidR="00A025E0" w:rsidRPr="00AF5142" w:rsidRDefault="00A025E0" w:rsidP="00635998">
            <w:pPr>
              <w:rPr>
                <w:rFonts w:ascii="Calibri" w:hAnsi="Calibri" w:cs="Calibri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14:paraId="70AEE79D" w14:textId="77777777" w:rsidR="00A025E0" w:rsidRPr="00AF5142" w:rsidRDefault="00A025E0" w:rsidP="00635998">
            <w:pPr>
              <w:rPr>
                <w:rFonts w:ascii="Calibri" w:hAnsi="Calibri" w:cs="Calibri"/>
              </w:rPr>
            </w:pPr>
            <w:r w:rsidRPr="00AF5142">
              <w:rPr>
                <w:rFonts w:ascii="Calibri" w:hAnsi="Calibri" w:cs="Calibri"/>
              </w:rPr>
              <w:t xml:space="preserve">Изменение в </w:t>
            </w:r>
            <w:proofErr w:type="spellStart"/>
            <w:r w:rsidRPr="00AF5142">
              <w:rPr>
                <w:rFonts w:ascii="Calibri" w:hAnsi="Calibri" w:cs="Calibri"/>
              </w:rPr>
              <w:t>п.п</w:t>
            </w:r>
            <w:proofErr w:type="spellEnd"/>
            <w:r w:rsidRPr="00AF5142">
              <w:rPr>
                <w:rFonts w:ascii="Calibri" w:hAnsi="Calibri" w:cs="Calibri"/>
              </w:rPr>
              <w:t>.</w:t>
            </w:r>
          </w:p>
        </w:tc>
      </w:tr>
      <w:tr w:rsidR="00A025E0" w:rsidRPr="009B3AE5" w14:paraId="472928BA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53BF7CE0" w14:textId="77777777" w:rsidR="00A025E0" w:rsidRPr="00A014FD" w:rsidRDefault="00A025E0" w:rsidP="00635998">
            <w:r w:rsidRPr="00A014FD">
              <w:t>Производство и торговля продовольственными товарами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74268021" w14:textId="77777777" w:rsidR="00A025E0" w:rsidRPr="00A014FD" w:rsidRDefault="00A025E0" w:rsidP="00635998">
            <w:r w:rsidRPr="00A014FD">
              <w:t>14%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040E66BB" w14:textId="77777777" w:rsidR="00A025E0" w:rsidRPr="00A014FD" w:rsidRDefault="00A025E0" w:rsidP="00635998">
            <w:r w:rsidRPr="00A014FD">
              <w:t>14%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3787C769" w14:textId="77777777" w:rsidR="00A025E0" w:rsidRPr="00A014FD" w:rsidRDefault="00A025E0" w:rsidP="00635998">
            <w:r w:rsidRPr="00A014FD">
              <w:t>18%</w:t>
            </w:r>
          </w:p>
        </w:tc>
        <w:tc>
          <w:tcPr>
            <w:tcW w:w="934" w:type="dxa"/>
          </w:tcPr>
          <w:p w14:paraId="6EF9D8D0" w14:textId="77777777" w:rsidR="00A025E0" w:rsidRPr="00A014FD" w:rsidRDefault="00A025E0" w:rsidP="00635998">
            <w:r w:rsidRPr="00A014FD">
              <w:t>17%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01FFA352" w14:textId="77777777" w:rsidR="00A025E0" w:rsidRPr="00A014FD" w:rsidRDefault="00A025E0" w:rsidP="00635998">
            <w:r w:rsidRPr="00A014FD">
              <w:t>-0,2</w:t>
            </w:r>
          </w:p>
        </w:tc>
      </w:tr>
      <w:tr w:rsidR="00A025E0" w:rsidRPr="009B3AE5" w14:paraId="18A6A91B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110C3A4C" w14:textId="77777777" w:rsidR="00A025E0" w:rsidRPr="00A014FD" w:rsidRDefault="00A025E0" w:rsidP="00635998">
            <w:r w:rsidRPr="00A014FD">
              <w:t>Строительство и девелопмент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1D252E1C" w14:textId="77777777" w:rsidR="00A025E0" w:rsidRPr="00A014FD" w:rsidRDefault="00A025E0" w:rsidP="00635998">
            <w:r w:rsidRPr="00A014FD">
              <w:t>13%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36669A00" w14:textId="77777777" w:rsidR="00A025E0" w:rsidRPr="00A014FD" w:rsidRDefault="00A025E0" w:rsidP="00635998">
            <w:r w:rsidRPr="00A014FD">
              <w:t>11%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192EC3D3" w14:textId="77777777" w:rsidR="00A025E0" w:rsidRPr="00A014FD" w:rsidRDefault="00A025E0" w:rsidP="00635998">
            <w:r w:rsidRPr="00A014FD">
              <w:t>10%</w:t>
            </w:r>
          </w:p>
        </w:tc>
        <w:tc>
          <w:tcPr>
            <w:tcW w:w="934" w:type="dxa"/>
          </w:tcPr>
          <w:p w14:paraId="321B369E" w14:textId="77777777" w:rsidR="00A025E0" w:rsidRPr="00A014FD" w:rsidRDefault="00A025E0" w:rsidP="00635998">
            <w:r w:rsidRPr="00A014FD">
              <w:t>12%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590B1161" w14:textId="77777777" w:rsidR="00A025E0" w:rsidRPr="00A014FD" w:rsidRDefault="00A025E0" w:rsidP="00635998">
            <w:r w:rsidRPr="00A014FD">
              <w:t>1,6</w:t>
            </w:r>
          </w:p>
        </w:tc>
      </w:tr>
      <w:tr w:rsidR="00A025E0" w:rsidRPr="009B3AE5" w14:paraId="6762D1CF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4CB235BE" w14:textId="77777777" w:rsidR="00A025E0" w:rsidRPr="00A014FD" w:rsidRDefault="00A025E0" w:rsidP="00635998">
            <w:r w:rsidRPr="00A014FD">
              <w:t>Машиностроение и торговля машиностроительной продукцией*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6BC4980E" w14:textId="77777777" w:rsidR="00A025E0" w:rsidRPr="00A014FD" w:rsidRDefault="00A025E0" w:rsidP="00635998">
            <w:r w:rsidRPr="00A014FD">
              <w:t>14%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700A4FB6" w14:textId="77777777" w:rsidR="00A025E0" w:rsidRPr="00A014FD" w:rsidRDefault="00A025E0" w:rsidP="00635998">
            <w:r w:rsidRPr="00A014FD">
              <w:t>14%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56A0F86B" w14:textId="77777777" w:rsidR="00A025E0" w:rsidRPr="00A014FD" w:rsidRDefault="00A025E0" w:rsidP="00635998">
            <w:r w:rsidRPr="00A014FD">
              <w:t>11%</w:t>
            </w:r>
          </w:p>
        </w:tc>
        <w:tc>
          <w:tcPr>
            <w:tcW w:w="934" w:type="dxa"/>
          </w:tcPr>
          <w:p w14:paraId="78671216" w14:textId="77777777" w:rsidR="00A025E0" w:rsidRPr="00A014FD" w:rsidRDefault="00A025E0" w:rsidP="00635998">
            <w:r w:rsidRPr="00A014FD">
              <w:t>8%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252DC171" w14:textId="77777777" w:rsidR="00A025E0" w:rsidRPr="00A014FD" w:rsidRDefault="00A025E0" w:rsidP="00635998">
            <w:r w:rsidRPr="00A014FD">
              <w:t>-2,7</w:t>
            </w:r>
          </w:p>
        </w:tc>
      </w:tr>
      <w:tr w:rsidR="00A025E0" w:rsidRPr="009B3AE5" w14:paraId="3B9B1D76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5517D029" w14:textId="77777777" w:rsidR="00A025E0" w:rsidRPr="00A014FD" w:rsidRDefault="00A025E0" w:rsidP="00635998">
            <w:r w:rsidRPr="00A014FD">
              <w:t>Транспортировка и транспортные услуги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0D998632" w14:textId="77777777" w:rsidR="00A025E0" w:rsidRPr="00A014FD" w:rsidRDefault="00A025E0" w:rsidP="00635998">
            <w:r w:rsidRPr="00A014FD">
              <w:t>7%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55BDE2B6" w14:textId="77777777" w:rsidR="00A025E0" w:rsidRPr="00A014FD" w:rsidRDefault="00A025E0" w:rsidP="00635998">
            <w:r w:rsidRPr="00A014FD">
              <w:t>8%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70AF42F2" w14:textId="77777777" w:rsidR="00A025E0" w:rsidRPr="00A014FD" w:rsidRDefault="00A025E0" w:rsidP="00635998">
            <w:r w:rsidRPr="00A014FD">
              <w:t>10%</w:t>
            </w:r>
          </w:p>
        </w:tc>
        <w:tc>
          <w:tcPr>
            <w:tcW w:w="934" w:type="dxa"/>
          </w:tcPr>
          <w:p w14:paraId="0EA82E29" w14:textId="77777777" w:rsidR="00A025E0" w:rsidRPr="00A014FD" w:rsidRDefault="00A025E0" w:rsidP="00635998">
            <w:r w:rsidRPr="00A014FD">
              <w:t>8%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64FF9244" w14:textId="77777777" w:rsidR="00A025E0" w:rsidRPr="00A014FD" w:rsidRDefault="00A025E0" w:rsidP="00635998">
            <w:r w:rsidRPr="00A014FD">
              <w:t>-2,0</w:t>
            </w:r>
          </w:p>
        </w:tc>
      </w:tr>
      <w:tr w:rsidR="00A025E0" w:rsidRPr="009B3AE5" w14:paraId="091573DD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48C5FAC7" w14:textId="77777777" w:rsidR="00A025E0" w:rsidRPr="00A014FD" w:rsidRDefault="00A025E0" w:rsidP="00635998">
            <w:r w:rsidRPr="00A014FD">
              <w:t>Производство транспортных средств и торговля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6E3285FF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234B8272" w14:textId="77777777" w:rsidR="00A025E0" w:rsidRPr="00A014FD" w:rsidRDefault="00A025E0" w:rsidP="00635998">
            <w:r w:rsidRPr="00A014FD">
              <w:t>7%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22D81E2A" w14:textId="77777777" w:rsidR="00A025E0" w:rsidRPr="00A014FD" w:rsidRDefault="00A025E0" w:rsidP="00635998">
            <w:r w:rsidRPr="00A014FD">
              <w:t>7%</w:t>
            </w:r>
          </w:p>
        </w:tc>
        <w:tc>
          <w:tcPr>
            <w:tcW w:w="934" w:type="dxa"/>
          </w:tcPr>
          <w:p w14:paraId="580A076D" w14:textId="77777777" w:rsidR="00A025E0" w:rsidRPr="00A014FD" w:rsidRDefault="00A025E0" w:rsidP="00635998">
            <w:r w:rsidRPr="00A014FD">
              <w:t>6%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13CBB618" w14:textId="77777777" w:rsidR="00A025E0" w:rsidRPr="00A014FD" w:rsidRDefault="00A025E0" w:rsidP="00635998">
            <w:r w:rsidRPr="00A014FD">
              <w:t>-0,9</w:t>
            </w:r>
          </w:p>
        </w:tc>
      </w:tr>
      <w:tr w:rsidR="00A025E0" w:rsidRPr="009B3AE5" w14:paraId="225D7497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170AA128" w14:textId="77777777" w:rsidR="00A025E0" w:rsidRPr="00A014FD" w:rsidRDefault="00A025E0" w:rsidP="00635998">
            <w:r w:rsidRPr="00A014FD">
              <w:t>Производство металлов, изделий из них и торговля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0DD53408" w14:textId="77777777" w:rsidR="00A025E0" w:rsidRPr="00A014FD" w:rsidRDefault="00A025E0" w:rsidP="00635998">
            <w:r w:rsidRPr="00A014FD">
              <w:t>8%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4739C8BC" w14:textId="77777777" w:rsidR="00A025E0" w:rsidRPr="00A014FD" w:rsidRDefault="00A025E0" w:rsidP="00635998">
            <w:r w:rsidRPr="00A014FD">
              <w:t>6%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0ED6A61F" w14:textId="77777777" w:rsidR="00A025E0" w:rsidRPr="00A014FD" w:rsidRDefault="00A025E0" w:rsidP="00635998">
            <w:r w:rsidRPr="00A014FD">
              <w:t>6%</w:t>
            </w:r>
          </w:p>
        </w:tc>
        <w:tc>
          <w:tcPr>
            <w:tcW w:w="934" w:type="dxa"/>
          </w:tcPr>
          <w:p w14:paraId="5BAFB439" w14:textId="77777777" w:rsidR="00A025E0" w:rsidRPr="00A014FD" w:rsidRDefault="00A025E0" w:rsidP="00635998">
            <w:r w:rsidRPr="00A014FD">
              <w:t>6%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7EA1DB0D" w14:textId="77777777" w:rsidR="00A025E0" w:rsidRPr="00A014FD" w:rsidRDefault="00A025E0" w:rsidP="00635998">
            <w:r w:rsidRPr="00A014FD">
              <w:t>0,7</w:t>
            </w:r>
          </w:p>
        </w:tc>
      </w:tr>
      <w:tr w:rsidR="00A025E0" w:rsidRPr="009B3AE5" w14:paraId="3C627CB1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764E89DD" w14:textId="77777777" w:rsidR="00A025E0" w:rsidRPr="00A014FD" w:rsidRDefault="00A025E0" w:rsidP="00635998">
            <w:r w:rsidRPr="00A014FD">
              <w:t>Производство продукции химии и торговля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3E0BC84A" w14:textId="77777777" w:rsidR="00A025E0" w:rsidRPr="00A014FD" w:rsidRDefault="00A025E0" w:rsidP="00635998">
            <w:r w:rsidRPr="00A014FD">
              <w:t>8%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650F9306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21884CB6" w14:textId="77777777" w:rsidR="00A025E0" w:rsidRPr="00A014FD" w:rsidRDefault="00A025E0" w:rsidP="00635998">
            <w:r w:rsidRPr="00A014FD">
              <w:t>5%</w:t>
            </w:r>
          </w:p>
        </w:tc>
        <w:tc>
          <w:tcPr>
            <w:tcW w:w="934" w:type="dxa"/>
          </w:tcPr>
          <w:p w14:paraId="04F39B71" w14:textId="77777777" w:rsidR="00A025E0" w:rsidRPr="00A014FD" w:rsidRDefault="00A025E0" w:rsidP="00635998">
            <w:r w:rsidRPr="00A014FD">
              <w:t>6%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109EEFCE" w14:textId="77777777" w:rsidR="00A025E0" w:rsidRPr="00A014FD" w:rsidRDefault="00A025E0" w:rsidP="00635998">
            <w:r w:rsidRPr="00A014FD">
              <w:t>0,9</w:t>
            </w:r>
          </w:p>
        </w:tc>
      </w:tr>
      <w:tr w:rsidR="00A025E0" w:rsidRPr="009B3AE5" w14:paraId="1E60ED0E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29565763" w14:textId="77777777" w:rsidR="00A025E0" w:rsidRPr="00A014FD" w:rsidRDefault="00A025E0" w:rsidP="00635998">
            <w:r w:rsidRPr="00A014FD">
              <w:t>Лесная и целлюлозно-бумажная промышленность и торговля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70633692" w14:textId="77777777" w:rsidR="00A025E0" w:rsidRPr="00A014FD" w:rsidRDefault="00A025E0" w:rsidP="00635998">
            <w:r w:rsidRPr="00A014FD">
              <w:t>3%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2931756D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6972B022" w14:textId="77777777" w:rsidR="00A025E0" w:rsidRPr="00A014FD" w:rsidRDefault="00A025E0" w:rsidP="00635998">
            <w:r w:rsidRPr="00A014FD">
              <w:t>3%</w:t>
            </w:r>
          </w:p>
        </w:tc>
        <w:tc>
          <w:tcPr>
            <w:tcW w:w="934" w:type="dxa"/>
          </w:tcPr>
          <w:p w14:paraId="6FDC0AE0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679A1D3F" w14:textId="77777777" w:rsidR="00A025E0" w:rsidRPr="00A014FD" w:rsidRDefault="00A025E0" w:rsidP="00635998">
            <w:r w:rsidRPr="00A014FD">
              <w:t>0,6</w:t>
            </w:r>
          </w:p>
        </w:tc>
      </w:tr>
      <w:tr w:rsidR="00A025E0" w:rsidRPr="009B3AE5" w14:paraId="7AEA41AB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0772EC89" w14:textId="77777777" w:rsidR="00A025E0" w:rsidRPr="00A014FD" w:rsidRDefault="00A025E0" w:rsidP="00635998">
            <w:r w:rsidRPr="00A014FD">
              <w:t>Производство и торговля топливно-энергетическими товарами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5EE8EAF5" w14:textId="77777777" w:rsidR="00A025E0" w:rsidRPr="00A014FD" w:rsidRDefault="00A025E0" w:rsidP="00635998">
            <w:r w:rsidRPr="00A014FD">
              <w:t>7%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288A92C5" w14:textId="77777777" w:rsidR="00A025E0" w:rsidRPr="00A014FD" w:rsidRDefault="00A025E0" w:rsidP="00635998">
            <w:r w:rsidRPr="00A014FD">
              <w:t>5%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672D5A45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4" w:type="dxa"/>
          </w:tcPr>
          <w:p w14:paraId="51ECE693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0856899F" w14:textId="77777777" w:rsidR="00A025E0" w:rsidRPr="00A014FD" w:rsidRDefault="00A025E0" w:rsidP="00635998">
            <w:r w:rsidRPr="00A014FD">
              <w:t>-0,5</w:t>
            </w:r>
          </w:p>
        </w:tc>
      </w:tr>
      <w:tr w:rsidR="00A025E0" w:rsidRPr="009B3AE5" w14:paraId="10F34629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</w:tcPr>
          <w:p w14:paraId="07E64412" w14:textId="77777777" w:rsidR="00A025E0" w:rsidRPr="00A014FD" w:rsidRDefault="00A025E0" w:rsidP="00635998">
            <w:r w:rsidRPr="00A014FD">
              <w:t>Розничная торговля</w:t>
            </w:r>
          </w:p>
        </w:tc>
        <w:tc>
          <w:tcPr>
            <w:tcW w:w="934" w:type="dxa"/>
            <w:shd w:val="clear" w:color="auto" w:fill="auto"/>
            <w:noWrap/>
          </w:tcPr>
          <w:p w14:paraId="27CE1F43" w14:textId="77777777" w:rsidR="00A025E0" w:rsidRPr="00A014FD" w:rsidRDefault="00A025E0" w:rsidP="00635998">
            <w:r w:rsidRPr="00A014FD">
              <w:t>5%</w:t>
            </w:r>
          </w:p>
        </w:tc>
        <w:tc>
          <w:tcPr>
            <w:tcW w:w="934" w:type="dxa"/>
            <w:shd w:val="clear" w:color="auto" w:fill="auto"/>
            <w:noWrap/>
          </w:tcPr>
          <w:p w14:paraId="29921413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5" w:type="dxa"/>
            <w:shd w:val="clear" w:color="auto" w:fill="auto"/>
            <w:noWrap/>
          </w:tcPr>
          <w:p w14:paraId="6418E25C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4" w:type="dxa"/>
          </w:tcPr>
          <w:p w14:paraId="29B0CBE0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41" w:type="dxa"/>
            <w:shd w:val="clear" w:color="auto" w:fill="auto"/>
            <w:noWrap/>
          </w:tcPr>
          <w:p w14:paraId="7E8A0BCA" w14:textId="77777777" w:rsidR="00A025E0" w:rsidRPr="00A014FD" w:rsidRDefault="00A025E0" w:rsidP="00635998">
            <w:r w:rsidRPr="00A014FD">
              <w:t>-0,8</w:t>
            </w:r>
          </w:p>
        </w:tc>
      </w:tr>
      <w:tr w:rsidR="00A025E0" w:rsidRPr="009B3AE5" w14:paraId="49584718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5FD75D72" w14:textId="77777777" w:rsidR="00A025E0" w:rsidRPr="00A014FD" w:rsidRDefault="00A025E0" w:rsidP="00635998">
            <w:r w:rsidRPr="00A014FD">
              <w:t>Производство фармацевтических товаров и торговля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6428D459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0D6756CB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507951E8" w14:textId="77777777" w:rsidR="00A025E0" w:rsidRPr="00A014FD" w:rsidRDefault="00A025E0" w:rsidP="00635998">
            <w:r w:rsidRPr="00A014FD">
              <w:t>5%</w:t>
            </w:r>
          </w:p>
        </w:tc>
        <w:tc>
          <w:tcPr>
            <w:tcW w:w="934" w:type="dxa"/>
          </w:tcPr>
          <w:p w14:paraId="594818E8" w14:textId="77777777" w:rsidR="00A025E0" w:rsidRPr="00A014FD" w:rsidRDefault="00A025E0" w:rsidP="00635998">
            <w:r w:rsidRPr="00A014FD">
              <w:t>3%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3DF05E23" w14:textId="77777777" w:rsidR="00A025E0" w:rsidRPr="00A014FD" w:rsidRDefault="00A025E0" w:rsidP="00635998">
            <w:r w:rsidRPr="00A014FD">
              <w:t>-1,7</w:t>
            </w:r>
          </w:p>
        </w:tc>
      </w:tr>
      <w:tr w:rsidR="00A025E0" w:rsidRPr="009B3AE5" w14:paraId="0B76224B" w14:textId="77777777" w:rsidTr="00635998">
        <w:trPr>
          <w:trHeight w:val="300"/>
        </w:trPr>
        <w:tc>
          <w:tcPr>
            <w:tcW w:w="4673" w:type="dxa"/>
            <w:shd w:val="clear" w:color="auto" w:fill="auto"/>
            <w:noWrap/>
            <w:hideMark/>
          </w:tcPr>
          <w:p w14:paraId="5AAC5083" w14:textId="77777777" w:rsidR="00A025E0" w:rsidRPr="00A014FD" w:rsidRDefault="00A025E0" w:rsidP="00635998">
            <w:r w:rsidRPr="00A014FD">
              <w:t>ИКТ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1F99A7E7" w14:textId="77777777" w:rsidR="00A025E0" w:rsidRPr="00A014FD" w:rsidRDefault="00A025E0" w:rsidP="00635998">
            <w:r w:rsidRPr="00A014FD">
              <w:t>3%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14:paraId="64CB1B7D" w14:textId="77777777" w:rsidR="00A025E0" w:rsidRPr="00A014FD" w:rsidRDefault="00A025E0" w:rsidP="00635998">
            <w:r w:rsidRPr="00A014FD">
              <w:t>3%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14:paraId="5EEA6AB1" w14:textId="77777777" w:rsidR="00A025E0" w:rsidRPr="00A014FD" w:rsidRDefault="00A025E0" w:rsidP="00635998">
            <w:r w:rsidRPr="00A014FD">
              <w:t>4%</w:t>
            </w:r>
          </w:p>
        </w:tc>
        <w:tc>
          <w:tcPr>
            <w:tcW w:w="934" w:type="dxa"/>
          </w:tcPr>
          <w:p w14:paraId="620BF1CC" w14:textId="77777777" w:rsidR="00A025E0" w:rsidRPr="00A014FD" w:rsidRDefault="00A025E0" w:rsidP="00635998">
            <w:r w:rsidRPr="00A014FD">
              <w:t>3%</w:t>
            </w:r>
          </w:p>
        </w:tc>
        <w:tc>
          <w:tcPr>
            <w:tcW w:w="941" w:type="dxa"/>
            <w:shd w:val="clear" w:color="auto" w:fill="auto"/>
            <w:noWrap/>
            <w:hideMark/>
          </w:tcPr>
          <w:p w14:paraId="7F4815B8" w14:textId="77777777" w:rsidR="00A025E0" w:rsidRDefault="00A025E0" w:rsidP="00635998">
            <w:r w:rsidRPr="00A014FD">
              <w:t>-1,5</w:t>
            </w:r>
          </w:p>
        </w:tc>
      </w:tr>
    </w:tbl>
    <w:p w14:paraId="4E0E40D5" w14:textId="77777777" w:rsidR="00A025E0" w:rsidRPr="009B3AE5" w:rsidRDefault="00A025E0" w:rsidP="00A025E0">
      <w:pPr>
        <w:rPr>
          <w:rFonts w:eastAsiaTheme="minorEastAsia" w:cstheme="minorHAnsi"/>
          <w:i/>
          <w:sz w:val="24"/>
          <w:szCs w:val="24"/>
          <w:lang w:eastAsia="ru-RU"/>
        </w:rPr>
      </w:pPr>
      <w:r w:rsidRPr="009B3AE5">
        <w:rPr>
          <w:rFonts w:eastAsiaTheme="minorEastAsia" w:cstheme="minorHAnsi"/>
          <w:i/>
          <w:sz w:val="24"/>
          <w:szCs w:val="24"/>
          <w:lang w:eastAsia="ru-RU"/>
        </w:rPr>
        <w:t>*Не включает транспортное машиностроение</w:t>
      </w:r>
    </w:p>
    <w:p w14:paraId="13D9FDF4" w14:textId="77777777" w:rsidR="00A025E0" w:rsidRPr="00EF7734" w:rsidRDefault="00A025E0" w:rsidP="00A025E0">
      <w:pPr>
        <w:rPr>
          <w:rFonts w:eastAsiaTheme="minorEastAsia" w:cstheme="minorHAnsi"/>
          <w:i/>
          <w:sz w:val="24"/>
          <w:szCs w:val="24"/>
          <w:vertAlign w:val="superscript"/>
          <w:lang w:val="en-US" w:eastAsia="ru-RU"/>
        </w:rPr>
      </w:pPr>
      <w:r w:rsidRPr="00EF7734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Источник: «СПАРК-Интерфакс»</w:t>
      </w:r>
    </w:p>
    <w:p w14:paraId="15F6DE73" w14:textId="011C54A8" w:rsidR="00CE6A3B" w:rsidRDefault="00CE6A3B" w:rsidP="00CE6A3B">
      <w:pPr>
        <w:jc w:val="both"/>
      </w:pPr>
      <w:r>
        <w:t>Заметно усилили</w:t>
      </w:r>
      <w:r w:rsidR="00164E3C">
        <w:t>сь</w:t>
      </w:r>
      <w:r w:rsidRPr="001736F2">
        <w:t xml:space="preserve"> </w:t>
      </w:r>
      <w:r w:rsidR="00801177">
        <w:t xml:space="preserve">по итогам </w:t>
      </w:r>
      <w:r w:rsidR="00801177">
        <w:rPr>
          <w:rFonts w:cstheme="minorHAnsi"/>
          <w:sz w:val="24"/>
          <w:szCs w:val="24"/>
        </w:rPr>
        <w:t>2017-2021</w:t>
      </w:r>
      <w:r w:rsidR="00801177" w:rsidRPr="001736F2">
        <w:rPr>
          <w:rFonts w:cstheme="minorHAnsi"/>
          <w:sz w:val="24"/>
          <w:szCs w:val="24"/>
        </w:rPr>
        <w:t xml:space="preserve"> гг.</w:t>
      </w:r>
      <w:r w:rsidR="00801177">
        <w:rPr>
          <w:rFonts w:cstheme="minorHAnsi"/>
          <w:sz w:val="24"/>
          <w:szCs w:val="24"/>
        </w:rPr>
        <w:t xml:space="preserve"> </w:t>
      </w:r>
      <w:r w:rsidRPr="001736F2">
        <w:t xml:space="preserve">позиции </w:t>
      </w:r>
      <w:r w:rsidR="00164E3C" w:rsidRPr="00EF7734">
        <w:rPr>
          <w:b/>
          <w:bCs/>
        </w:rPr>
        <w:t>строительного комплекса</w:t>
      </w:r>
      <w:r w:rsidRPr="001736F2">
        <w:t>, доля котор</w:t>
      </w:r>
      <w:r w:rsidR="001019E4">
        <w:t>ого</w:t>
      </w:r>
      <w:r w:rsidRPr="001736F2">
        <w:t xml:space="preserve"> </w:t>
      </w:r>
      <w:r>
        <w:t>увеличилась</w:t>
      </w:r>
      <w:r w:rsidRPr="001736F2">
        <w:t xml:space="preserve"> </w:t>
      </w:r>
      <w:r>
        <w:t>до 12</w:t>
      </w:r>
      <w:r w:rsidRPr="001736F2">
        <w:t>% по сравнению с 1</w:t>
      </w:r>
      <w:r>
        <w:t>0</w:t>
      </w:r>
      <w:r w:rsidRPr="001736F2">
        <w:t xml:space="preserve">% в прошлом году. </w:t>
      </w:r>
      <w:r>
        <w:t xml:space="preserve">Сектору удалось пройти </w:t>
      </w:r>
      <w:r w:rsidR="00374617">
        <w:t>пандемию</w:t>
      </w:r>
      <w:r>
        <w:t xml:space="preserve"> относительно успешно благодаря программе льготной ипотеки, продолжению г</w:t>
      </w:r>
      <w:r w:rsidRPr="001736F2">
        <w:t>осударственно</w:t>
      </w:r>
      <w:r>
        <w:t>го финансирования</w:t>
      </w:r>
      <w:r w:rsidRPr="001736F2">
        <w:t xml:space="preserve"> крупных инфраструктурных проектов</w:t>
      </w:r>
      <w:r>
        <w:t xml:space="preserve">, </w:t>
      </w:r>
      <w:r w:rsidR="00374617">
        <w:t>широко</w:t>
      </w:r>
      <w:r w:rsidR="00164E3C">
        <w:t>му</w:t>
      </w:r>
      <w:r>
        <w:t xml:space="preserve"> </w:t>
      </w:r>
      <w:r w:rsidRPr="001736F2">
        <w:t xml:space="preserve">использование </w:t>
      </w:r>
      <w:proofErr w:type="spellStart"/>
      <w:r w:rsidRPr="001736F2">
        <w:t>эскроу</w:t>
      </w:r>
      <w:proofErr w:type="spellEnd"/>
      <w:r w:rsidRPr="001736F2">
        <w:t>-счетов в жилищном строительстве</w:t>
      </w:r>
      <w:r>
        <w:t xml:space="preserve">. </w:t>
      </w:r>
      <w:r w:rsidR="001019E4">
        <w:t xml:space="preserve">У сектора, по-видимому, есть все шансы остаться </w:t>
      </w:r>
      <w:r w:rsidR="00B7487D">
        <w:t>одной из ключевых ниш</w:t>
      </w:r>
      <w:r w:rsidR="001019E4">
        <w:t xml:space="preserve"> для развития БРК. Опираясь на внутренний спрос и государственную поддержку, строительство </w:t>
      </w:r>
      <w:r w:rsidR="001019E4" w:rsidRPr="001736F2">
        <w:t>и девелопмент</w:t>
      </w:r>
      <w:r w:rsidR="001019E4">
        <w:t xml:space="preserve"> слабо ощущает влияние санкций. </w:t>
      </w:r>
      <w:r w:rsidR="001F53E5">
        <w:t>Сектор продолжает быть прибыльным, р</w:t>
      </w:r>
      <w:r w:rsidR="001019E4">
        <w:t xml:space="preserve">астет производство строительных материалов, объем договоров </w:t>
      </w:r>
      <w:r w:rsidR="00A67000">
        <w:t xml:space="preserve">подряда, </w:t>
      </w:r>
      <w:r w:rsidR="00A67000">
        <w:lastRenderedPageBreak/>
        <w:t>жилищное строительство.</w:t>
      </w:r>
      <w:r w:rsidR="00A67000" w:rsidRPr="00A67000">
        <w:rPr>
          <w:b/>
        </w:rPr>
        <w:t xml:space="preserve"> </w:t>
      </w:r>
      <w:r w:rsidR="00B7487D">
        <w:t>Вместе с тем</w:t>
      </w:r>
      <w:r w:rsidR="00A67000" w:rsidRPr="00A67000">
        <w:t xml:space="preserve"> развитие сектора сдерживается </w:t>
      </w:r>
      <w:r w:rsidR="00164E3C">
        <w:t>«</w:t>
      </w:r>
      <w:r w:rsidR="00A67000" w:rsidRPr="00A67000">
        <w:t>традиционными</w:t>
      </w:r>
      <w:r w:rsidR="00164E3C">
        <w:t>»</w:t>
      </w:r>
      <w:r w:rsidR="00A67000" w:rsidRPr="00A67000">
        <w:t xml:space="preserve"> проблемами</w:t>
      </w:r>
      <w:r w:rsidR="00164E3C">
        <w:t xml:space="preserve"> – высоким уровнем просрочки по кредитам, кредиторской и дебиторской задолженности</w:t>
      </w:r>
      <w:r w:rsidR="00A67000" w:rsidRPr="00A67000">
        <w:t xml:space="preserve">. Доля компаний с Индексом платежной дисциплины </w:t>
      </w:r>
      <w:r w:rsidR="00B7487D">
        <w:t>«</w:t>
      </w:r>
      <w:r w:rsidR="00A67000" w:rsidRPr="00A67000">
        <w:t>Высокий риск</w:t>
      </w:r>
      <w:r w:rsidR="00B7487D">
        <w:t>»</w:t>
      </w:r>
      <w:r w:rsidR="00B7487D" w:rsidRPr="00A67000">
        <w:t xml:space="preserve"> </w:t>
      </w:r>
      <w:r w:rsidR="00A67000" w:rsidRPr="00A67000">
        <w:t>остается одной из самых значительных среди крупнейших секторов, причем она продолжала расти в апреле-мае 2022 г.</w:t>
      </w:r>
    </w:p>
    <w:p w14:paraId="3AC0B207" w14:textId="6BFDCAF0" w:rsidR="002D3AC6" w:rsidRDefault="00A54FDE" w:rsidP="004766D0">
      <w:pPr>
        <w:jc w:val="both"/>
      </w:pPr>
      <w:r w:rsidRPr="00EF7734">
        <w:rPr>
          <w:b/>
          <w:bCs/>
        </w:rPr>
        <w:t>Машиностроительный комплекс</w:t>
      </w:r>
      <w:r>
        <w:t xml:space="preserve">, хотя </w:t>
      </w:r>
      <w:r w:rsidR="00001DC5">
        <w:t xml:space="preserve">еще </w:t>
      </w:r>
      <w:r>
        <w:t>и остался в группе лидеров, оказался наиболее пострадавшим от пандемии. Его д</w:t>
      </w:r>
      <w:r w:rsidR="00001DC5">
        <w:t>оля в общем числе БРК упала с 11</w:t>
      </w:r>
      <w:r>
        <w:t xml:space="preserve">% до </w:t>
      </w:r>
      <w:r w:rsidR="00001DC5">
        <w:t>8</w:t>
      </w:r>
      <w:r>
        <w:t xml:space="preserve">%. </w:t>
      </w:r>
      <w:r w:rsidR="00001DC5">
        <w:t xml:space="preserve">При этом количество машиностроительных </w:t>
      </w:r>
      <w:r w:rsidR="00FD16FF">
        <w:t xml:space="preserve">БРК </w:t>
      </w:r>
      <w:r w:rsidR="00001DC5">
        <w:t>практически не изменилось (28</w:t>
      </w:r>
      <w:r w:rsidR="00FD16FF">
        <w:t xml:space="preserve"> компаний</w:t>
      </w:r>
      <w:r w:rsidR="00001DC5">
        <w:t xml:space="preserve">). </w:t>
      </w:r>
      <w:r w:rsidR="00976058">
        <w:t>Очевидно</w:t>
      </w:r>
      <w:r w:rsidR="00001DC5">
        <w:t xml:space="preserve">, возможности машиностроительного комплекса для развития </w:t>
      </w:r>
      <w:r w:rsidR="00976058">
        <w:t>«</w:t>
      </w:r>
      <w:r w:rsidR="00001DC5">
        <w:t>газелей</w:t>
      </w:r>
      <w:r w:rsidR="00976058">
        <w:t>»</w:t>
      </w:r>
      <w:r w:rsidR="00001DC5">
        <w:t xml:space="preserve"> значительно снизятся в ближайшие два года в результате санкционного давления и разрыва кооперационных связей. </w:t>
      </w:r>
      <w:r w:rsidR="007D5CB6">
        <w:t>Беспокойство вызывает наметившаяся тенденция к некоторому сокращению выпуска продукции, ухудшению платежной дисциплины, а также росту просрочки по займам и кредитам, кредиторской и дебиторской задолженности. В то же время</w:t>
      </w:r>
      <w:r w:rsidR="00643C81">
        <w:t xml:space="preserve">, </w:t>
      </w:r>
      <w:r w:rsidR="006D3A78">
        <w:t xml:space="preserve">как показывает </w:t>
      </w:r>
      <w:r w:rsidR="00B7487D">
        <w:t>«</w:t>
      </w:r>
      <w:r w:rsidR="006D3A78">
        <w:t>СПАРК-Интерфакс</w:t>
      </w:r>
      <w:r w:rsidR="00B7487D">
        <w:t>»</w:t>
      </w:r>
      <w:r w:rsidR="006D3A78">
        <w:t xml:space="preserve">, </w:t>
      </w:r>
      <w:r w:rsidR="00643C81">
        <w:t>сектор сохраняет неплохую финансовую устойчивость благодаря высокой ликвидности, низкому долговому бремени, прибыльности операций.</w:t>
      </w:r>
      <w:r w:rsidR="007D5CB6">
        <w:t xml:space="preserve"> Не исключено, что </w:t>
      </w:r>
      <w:r w:rsidR="00001DC5">
        <w:t xml:space="preserve">по мере развертывания процесса импортозамещения и переориентации на новых партнеров </w:t>
      </w:r>
      <w:r w:rsidR="00FD16FF">
        <w:t>можно будет</w:t>
      </w:r>
      <w:r w:rsidR="00001DC5">
        <w:t xml:space="preserve"> ожидать бурного развития БРК в </w:t>
      </w:r>
      <w:r w:rsidR="001E68F7">
        <w:t>машиностроительном</w:t>
      </w:r>
      <w:r w:rsidR="00001DC5">
        <w:t xml:space="preserve"> комплексе.</w:t>
      </w:r>
    </w:p>
    <w:p w14:paraId="0D7A7EA1" w14:textId="218980D0" w:rsidR="002D3AC6" w:rsidRDefault="006569E7" w:rsidP="00FA7D15">
      <w:pPr>
        <w:jc w:val="both"/>
      </w:pPr>
      <w:r>
        <w:t>Среди</w:t>
      </w:r>
      <w:r w:rsidR="001411D3" w:rsidRPr="001736F2">
        <w:t xml:space="preserve"> наиболее привлекательных секторов </w:t>
      </w:r>
      <w:r w:rsidR="00092D5B">
        <w:t>остались</w:t>
      </w:r>
      <w:r w:rsidR="001411D3" w:rsidRPr="001736F2">
        <w:t xml:space="preserve"> </w:t>
      </w:r>
      <w:r w:rsidR="001411D3" w:rsidRPr="00EF7734">
        <w:rPr>
          <w:b/>
          <w:bCs/>
        </w:rPr>
        <w:t>транспортировка и транспортные услуги</w:t>
      </w:r>
      <w:r w:rsidR="001411D3" w:rsidRPr="001736F2">
        <w:t xml:space="preserve">, </w:t>
      </w:r>
      <w:r w:rsidR="000A25A2">
        <w:t xml:space="preserve">доля которых </w:t>
      </w:r>
      <w:r w:rsidR="005052DC">
        <w:t>снизилась</w:t>
      </w:r>
      <w:r w:rsidR="004766D0">
        <w:t xml:space="preserve"> </w:t>
      </w:r>
      <w:r w:rsidR="005052DC">
        <w:t>с</w:t>
      </w:r>
      <w:r w:rsidR="000A25A2">
        <w:t xml:space="preserve"> </w:t>
      </w:r>
      <w:r w:rsidR="00092D5B">
        <w:t>10</w:t>
      </w:r>
      <w:r w:rsidR="001411D3" w:rsidRPr="001736F2">
        <w:t xml:space="preserve">% </w:t>
      </w:r>
      <w:r w:rsidR="005052DC">
        <w:t>до 8</w:t>
      </w:r>
      <w:r w:rsidR="001411D3" w:rsidRPr="001736F2">
        <w:t xml:space="preserve">%. </w:t>
      </w:r>
      <w:r>
        <w:t xml:space="preserve">В результате </w:t>
      </w:r>
      <w:proofErr w:type="spellStart"/>
      <w:r>
        <w:t>пандемийных</w:t>
      </w:r>
      <w:proofErr w:type="spellEnd"/>
      <w:r>
        <w:t xml:space="preserve"> ограничений </w:t>
      </w:r>
      <w:r w:rsidR="00D7484D">
        <w:t xml:space="preserve">пассажирский транспорт оказался в глубочайшем кризисе, </w:t>
      </w:r>
      <w:r>
        <w:t xml:space="preserve">тогда как </w:t>
      </w:r>
      <w:r w:rsidR="00D7484D">
        <w:t>грузовому сегменту</w:t>
      </w:r>
      <w:r w:rsidR="001411D3" w:rsidRPr="001736F2">
        <w:t xml:space="preserve"> транспортн</w:t>
      </w:r>
      <w:r w:rsidR="00D7484D">
        <w:t>ого</w:t>
      </w:r>
      <w:r w:rsidR="001411D3" w:rsidRPr="001736F2">
        <w:t xml:space="preserve"> сектор</w:t>
      </w:r>
      <w:r w:rsidR="00D7484D">
        <w:t>а удалось постепенно приспособиться к изменившимся условиям.</w:t>
      </w:r>
      <w:r w:rsidR="00974BB5">
        <w:t xml:space="preserve"> </w:t>
      </w:r>
      <w:r>
        <w:t xml:space="preserve">Несмотря на негативное влияние санкций транспортный сектор </w:t>
      </w:r>
      <w:r w:rsidR="00D239ED">
        <w:t xml:space="preserve">сохраняет хорошие шансы удержать позиции по числу БРК. После «шока» в марте-апреле </w:t>
      </w:r>
      <w:r w:rsidR="00801177">
        <w:t xml:space="preserve">2022 г. </w:t>
      </w:r>
      <w:r w:rsidR="00D239ED">
        <w:t>грузооборот транспорта в мае начал расти, особенно в водном, автомобильном и железнодорожном сегментах.</w:t>
      </w:r>
      <w:r w:rsidR="003C2957">
        <w:t xml:space="preserve"> Сектор продолжает генерировать прибыль, имеет низкий уровень просрочки по платежам.</w:t>
      </w:r>
      <w:r w:rsidR="00260B75">
        <w:t xml:space="preserve"> </w:t>
      </w:r>
      <w:r w:rsidR="00801177">
        <w:t>Среди негативных тенденций – напряженная ситуация на воздушном транспорте и</w:t>
      </w:r>
      <w:r w:rsidR="00260B75">
        <w:t xml:space="preserve"> ухудшение платежной дисциплины</w:t>
      </w:r>
      <w:r w:rsidR="00FA7D15">
        <w:t>.</w:t>
      </w:r>
      <w:r w:rsidR="00FA7D15" w:rsidRPr="00FA7D15">
        <w:t xml:space="preserve"> </w:t>
      </w:r>
      <w:bookmarkStart w:id="1" w:name="_Hlk108014932"/>
      <w:r w:rsidR="00FA7D15">
        <w:t>Удельный вес транспортных компаний</w:t>
      </w:r>
      <w:r w:rsidR="00FA7D15" w:rsidRPr="00A67000">
        <w:t xml:space="preserve"> с Индексом платежной дисциплины </w:t>
      </w:r>
      <w:r w:rsidR="00F25782">
        <w:t>«</w:t>
      </w:r>
      <w:r w:rsidR="00FA7D15" w:rsidRPr="00A67000">
        <w:t>Высокий риск</w:t>
      </w:r>
      <w:r w:rsidR="00F25782">
        <w:t xml:space="preserve">» </w:t>
      </w:r>
      <w:r w:rsidR="00FA7D15">
        <w:t xml:space="preserve">превысил 8% в мае 2022 г., хотя этот показатель </w:t>
      </w:r>
      <w:r w:rsidR="00EF7734">
        <w:t xml:space="preserve">остается </w:t>
      </w:r>
      <w:r w:rsidR="00FA7D15">
        <w:t xml:space="preserve">значительно ниже уровня </w:t>
      </w:r>
      <w:r w:rsidR="00370E17">
        <w:t>мая</w:t>
      </w:r>
      <w:r w:rsidR="00FA7D15">
        <w:t xml:space="preserve"> 2020 г. (13%). </w:t>
      </w:r>
      <w:bookmarkEnd w:id="1"/>
    </w:p>
    <w:p w14:paraId="2F588FED" w14:textId="77777777" w:rsidR="00DF2445" w:rsidRDefault="00DF2445" w:rsidP="00DF2445">
      <w:pPr>
        <w:widowControl w:val="0"/>
        <w:autoSpaceDE w:val="0"/>
        <w:autoSpaceDN w:val="0"/>
        <w:adjustRightInd w:val="0"/>
        <w:spacing w:after="0" w:line="240" w:lineRule="auto"/>
        <w:ind w:right="423"/>
        <w:outlineLvl w:val="0"/>
        <w:rPr>
          <w:rFonts w:eastAsiaTheme="minorEastAsia" w:cstheme="minorHAnsi"/>
          <w:b/>
          <w:sz w:val="24"/>
          <w:szCs w:val="24"/>
          <w:lang w:eastAsia="ru-RU"/>
        </w:rPr>
      </w:pPr>
      <w:r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Самые </w:t>
      </w:r>
      <w:r w:rsidR="006C46C5">
        <w:rPr>
          <w:rFonts w:eastAsiaTheme="minorEastAsia" w:cstheme="minorHAnsi"/>
          <w:b/>
          <w:sz w:val="24"/>
          <w:szCs w:val="24"/>
          <w:lang w:eastAsia="ru-RU"/>
        </w:rPr>
        <w:t>быстрорастущие</w:t>
      </w:r>
      <w:r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 «ниши»</w:t>
      </w:r>
    </w:p>
    <w:p w14:paraId="73963BBB" w14:textId="77777777" w:rsidR="00DF2445" w:rsidRDefault="00DF2445" w:rsidP="00DF2445">
      <w:pPr>
        <w:widowControl w:val="0"/>
        <w:autoSpaceDE w:val="0"/>
        <w:autoSpaceDN w:val="0"/>
        <w:adjustRightInd w:val="0"/>
        <w:spacing w:after="0" w:line="240" w:lineRule="auto"/>
        <w:ind w:right="423"/>
        <w:outlineLvl w:val="0"/>
        <w:rPr>
          <w:rFonts w:eastAsiaTheme="minorEastAsia" w:cstheme="minorHAnsi"/>
          <w:b/>
          <w:sz w:val="24"/>
          <w:szCs w:val="24"/>
          <w:lang w:eastAsia="ru-RU"/>
        </w:rPr>
      </w:pPr>
    </w:p>
    <w:p w14:paraId="657E5D75" w14:textId="67725D4B" w:rsidR="00556F74" w:rsidRDefault="00DF2445" w:rsidP="006C46C5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outlineLvl w:val="0"/>
      </w:pPr>
      <w:r>
        <w:t xml:space="preserve">Пандемия определила ряд отраслей, которые продемонстрировали наибольший прирост числа БРК, </w:t>
      </w:r>
      <w:r w:rsidR="00B845C4">
        <w:t xml:space="preserve">превзойдя </w:t>
      </w:r>
      <w:r>
        <w:t xml:space="preserve">соответствующий среднероссийский показатель. Прежде всего, отмечался бум в производстве бумаги и бумажных изделий, где количество </w:t>
      </w:r>
      <w:r w:rsidR="006C46C5">
        <w:t xml:space="preserve">таких компаний </w:t>
      </w:r>
      <w:r>
        <w:t xml:space="preserve">утроилось. Это было связано с всплеском спроса на упаковку, особенно в связи с </w:t>
      </w:r>
      <w:r w:rsidR="00842549">
        <w:t xml:space="preserve">развитием бизнеса по </w:t>
      </w:r>
      <w:r>
        <w:t>доставк</w:t>
      </w:r>
      <w:r w:rsidR="00842549">
        <w:t>е</w:t>
      </w:r>
      <w:r>
        <w:t xml:space="preserve"> товаров </w:t>
      </w:r>
      <w:r w:rsidR="006C46C5">
        <w:t>населению в условиях коронавирусных ограничений.</w:t>
      </w:r>
      <w:r w:rsidR="00662F21">
        <w:t xml:space="preserve"> </w:t>
      </w:r>
      <w:r w:rsidR="00E838A7">
        <w:t>Почти двукратный рост показало число БРК в производстве изделий из металлов, а также металлургии. Во многом этот рост опирался на спрос со стороны строительного комплекса, развитие которого стимулировалось государством, а также скачком цен на металлы на мировых рынках.</w:t>
      </w:r>
      <w:r w:rsidR="00405710">
        <w:t xml:space="preserve"> </w:t>
      </w:r>
      <w:r w:rsidR="0042467C">
        <w:t>Среди других</w:t>
      </w:r>
      <w:r w:rsidR="00763CB4">
        <w:t xml:space="preserve"> динамичных</w:t>
      </w:r>
      <w:r w:rsidR="0042467C">
        <w:t xml:space="preserve"> «ниш», на развитие которых </w:t>
      </w:r>
      <w:r w:rsidR="00763CB4">
        <w:t xml:space="preserve">оказали воздействие и пандемия, и меры государственного регулирования, оказались производство резиновых и пластмассовых изделий, мебели, сельское хозяйство, деревообработка, пошив одежды.  </w:t>
      </w:r>
    </w:p>
    <w:p w14:paraId="3BD43A54" w14:textId="77777777" w:rsidR="00556F74" w:rsidRDefault="00556F74" w:rsidP="006C46C5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outlineLvl w:val="0"/>
      </w:pPr>
    </w:p>
    <w:p w14:paraId="57CE86C6" w14:textId="4532DFD0" w:rsidR="0042467C" w:rsidRDefault="00405710" w:rsidP="006C46C5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outlineLvl w:val="0"/>
      </w:pPr>
      <w:r>
        <w:t xml:space="preserve">Все эти «ниши» могут оставаться привлекательными для развития </w:t>
      </w:r>
      <w:r w:rsidR="002A4F59">
        <w:t>«</w:t>
      </w:r>
      <w:r>
        <w:t>газелей</w:t>
      </w:r>
      <w:r w:rsidR="002A4F59">
        <w:t>»</w:t>
      </w:r>
      <w:r>
        <w:t xml:space="preserve"> в ближайшие годы, поскольку большинство </w:t>
      </w:r>
      <w:r w:rsidR="008458C5" w:rsidRPr="008458C5">
        <w:t xml:space="preserve">работающих в них </w:t>
      </w:r>
      <w:r>
        <w:t>предприятий ориентиру</w:t>
      </w:r>
      <w:r w:rsidR="00842549">
        <w:t>е</w:t>
      </w:r>
      <w:r>
        <w:t>тся на удовлетворение потребностей внутреннего рынка. Более того,</w:t>
      </w:r>
      <w:r w:rsidR="00763CB4">
        <w:t xml:space="preserve"> санкции и уход с российского рынка ряда западных компаний будут создавать дополнительные стимулы для развития БРК в этих отраслях.</w:t>
      </w:r>
    </w:p>
    <w:p w14:paraId="5AA45B57" w14:textId="77777777" w:rsidR="006C46C5" w:rsidRPr="00DF2445" w:rsidRDefault="006C46C5" w:rsidP="006C46C5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outlineLvl w:val="0"/>
      </w:pPr>
    </w:p>
    <w:p w14:paraId="6E50FAC2" w14:textId="77777777" w:rsidR="007F1857" w:rsidRPr="001736F2" w:rsidRDefault="007E162E" w:rsidP="00FD1182">
      <w:pPr>
        <w:ind w:right="423"/>
        <w:jc w:val="both"/>
        <w:rPr>
          <w:rFonts w:eastAsiaTheme="minorEastAsia" w:cstheme="minorHAnsi"/>
          <w:b/>
          <w:sz w:val="24"/>
          <w:szCs w:val="24"/>
          <w:lang w:eastAsia="ru-RU"/>
        </w:rPr>
      </w:pPr>
      <w:r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Самые эффективные </w:t>
      </w:r>
      <w:r w:rsidR="00DF2445">
        <w:rPr>
          <w:rFonts w:eastAsiaTheme="minorEastAsia" w:cstheme="minorHAnsi"/>
          <w:b/>
          <w:sz w:val="24"/>
          <w:szCs w:val="24"/>
          <w:lang w:eastAsia="ru-RU"/>
        </w:rPr>
        <w:t>отрасли</w:t>
      </w:r>
    </w:p>
    <w:p w14:paraId="33B0E2BB" w14:textId="1E9ACC57" w:rsidR="00A97E07" w:rsidRDefault="001411D3" w:rsidP="00E473D8">
      <w:pPr>
        <w:jc w:val="both"/>
      </w:pPr>
      <w:r w:rsidRPr="001736F2">
        <w:t xml:space="preserve">Быстрые темпы роста </w:t>
      </w:r>
      <w:r w:rsidR="00F843C3">
        <w:t>не всегда свидетельствуют о процветании</w:t>
      </w:r>
      <w:r w:rsidRPr="001736F2">
        <w:t xml:space="preserve"> компании. Ключевым критерием успешности развития бизнеса остается прибыльность. Оценка прибыльности БРК по видам экономической деятельности </w:t>
      </w:r>
      <w:r w:rsidRPr="001736F2">
        <w:lastRenderedPageBreak/>
        <w:t xml:space="preserve">обнаруживает, что список трех наиболее эффективных отраслей </w:t>
      </w:r>
      <w:r w:rsidR="00F843C3">
        <w:t xml:space="preserve">несколько </w:t>
      </w:r>
      <w:r w:rsidRPr="001736F2">
        <w:t xml:space="preserve">изменился. </w:t>
      </w:r>
      <w:r w:rsidR="00F843C3">
        <w:t xml:space="preserve">В тройке лидеров </w:t>
      </w:r>
      <w:r w:rsidRPr="001736F2">
        <w:t>оста</w:t>
      </w:r>
      <w:r w:rsidR="00F843C3">
        <w:t xml:space="preserve">лись лишь </w:t>
      </w:r>
      <w:r w:rsidR="00F843C3" w:rsidRPr="001736F2">
        <w:t>рыболовство</w:t>
      </w:r>
      <w:r w:rsidR="00B527D7">
        <w:t xml:space="preserve"> </w:t>
      </w:r>
      <w:r w:rsidR="00F843C3" w:rsidRPr="001736F2">
        <w:t xml:space="preserve">(норма чистой прибыли </w:t>
      </w:r>
      <w:r w:rsidR="00F843C3">
        <w:t>–</w:t>
      </w:r>
      <w:r w:rsidR="00F843C3" w:rsidRPr="001736F2">
        <w:t xml:space="preserve"> </w:t>
      </w:r>
      <w:r w:rsidR="00F843C3">
        <w:t>52,2</w:t>
      </w:r>
      <w:r w:rsidR="00F843C3" w:rsidRPr="001736F2">
        <w:t xml:space="preserve">%) </w:t>
      </w:r>
      <w:r w:rsidR="00F843C3">
        <w:t xml:space="preserve">и </w:t>
      </w:r>
      <w:r w:rsidR="00883DBB" w:rsidRPr="001736F2">
        <w:t xml:space="preserve">сельское хозяйство </w:t>
      </w:r>
      <w:r w:rsidRPr="001736F2">
        <w:t>(</w:t>
      </w:r>
      <w:r w:rsidR="00F843C3">
        <w:t>37,2</w:t>
      </w:r>
      <w:r w:rsidRPr="001736F2">
        <w:t>%)</w:t>
      </w:r>
      <w:r w:rsidR="00F843C3">
        <w:t>.</w:t>
      </w:r>
      <w:r w:rsidRPr="001736F2">
        <w:t xml:space="preserve"> </w:t>
      </w:r>
      <w:r w:rsidR="00F843C3">
        <w:t>З</w:t>
      </w:r>
      <w:r w:rsidR="00F843C3" w:rsidRPr="001736F2">
        <w:t xml:space="preserve">дравоохранение </w:t>
      </w:r>
      <w:r w:rsidR="00F843C3">
        <w:t xml:space="preserve">опустилось на четвертое место, уступив по рентабельности нефтяному бизнесу </w:t>
      </w:r>
      <w:r w:rsidR="00F843C3" w:rsidRPr="001736F2">
        <w:t>(</w:t>
      </w:r>
      <w:r w:rsidR="00F843C3">
        <w:t>22,8</w:t>
      </w:r>
      <w:r w:rsidR="00F843C3" w:rsidRPr="001736F2">
        <w:t>%)</w:t>
      </w:r>
      <w:r w:rsidR="00F843C3">
        <w:t>.</w:t>
      </w:r>
      <w:r w:rsidR="00F843C3" w:rsidRPr="001736F2">
        <w:t xml:space="preserve"> </w:t>
      </w:r>
      <w:r w:rsidR="00A97E07">
        <w:t xml:space="preserve"> </w:t>
      </w:r>
    </w:p>
    <w:p w14:paraId="23F6FC52" w14:textId="13E41BD4" w:rsidR="002430BA" w:rsidRDefault="001411D3" w:rsidP="002430BA">
      <w:pPr>
        <w:jc w:val="both"/>
      </w:pPr>
      <w:r w:rsidRPr="001736F2">
        <w:t xml:space="preserve">Прошлогодний </w:t>
      </w:r>
      <w:r w:rsidR="00A97E07">
        <w:t>список</w:t>
      </w:r>
      <w:r w:rsidRPr="001736F2">
        <w:t xml:space="preserve"> по прибыльности обновился </w:t>
      </w:r>
      <w:r w:rsidR="00F843C3">
        <w:t>наполовину (</w:t>
      </w:r>
      <w:r w:rsidR="00A70165">
        <w:t>в прошлом году</w:t>
      </w:r>
      <w:r w:rsidR="00443408" w:rsidRPr="00443408">
        <w:t xml:space="preserve"> </w:t>
      </w:r>
      <w:r w:rsidR="00443408">
        <w:t xml:space="preserve">было </w:t>
      </w:r>
      <w:r w:rsidR="00443408" w:rsidRPr="00443408">
        <w:t xml:space="preserve">обновление </w:t>
      </w:r>
      <w:r w:rsidR="00443408">
        <w:t xml:space="preserve">всего </w:t>
      </w:r>
      <w:r w:rsidR="00443408" w:rsidRPr="00443408">
        <w:t>на 20%</w:t>
      </w:r>
      <w:r w:rsidR="00A70165">
        <w:t>)</w:t>
      </w:r>
      <w:r w:rsidR="00F843C3">
        <w:t>, что свидетельствует о</w:t>
      </w:r>
      <w:r w:rsidR="00443408">
        <w:t>б</w:t>
      </w:r>
      <w:r w:rsidR="00F843C3">
        <w:t xml:space="preserve"> </w:t>
      </w:r>
      <w:r w:rsidR="00443408">
        <w:t xml:space="preserve">усилившемся влиянии </w:t>
      </w:r>
      <w:r w:rsidR="00F843C3">
        <w:t xml:space="preserve">пандемии на </w:t>
      </w:r>
      <w:r w:rsidR="00443408">
        <w:t xml:space="preserve">рентабельность </w:t>
      </w:r>
      <w:r w:rsidR="00F843C3">
        <w:t xml:space="preserve">различных отраслей. </w:t>
      </w:r>
      <w:r w:rsidR="002430BA">
        <w:t>На</w:t>
      </w:r>
      <w:r w:rsidRPr="001736F2">
        <w:t xml:space="preserve"> смену </w:t>
      </w:r>
      <w:r w:rsidR="002430BA">
        <w:t xml:space="preserve">машиностроению, химической промышленности, </w:t>
      </w:r>
      <w:r w:rsidR="00443408">
        <w:t xml:space="preserve">торговле </w:t>
      </w:r>
      <w:r w:rsidR="002430BA">
        <w:t xml:space="preserve">продукцией машиностроения, легкой промышленности, </w:t>
      </w:r>
      <w:r w:rsidR="00443408">
        <w:t xml:space="preserve">электроэнергетике </w:t>
      </w:r>
      <w:r w:rsidR="002430BA">
        <w:t>пришли такие отрасли, как добыча и переработка энергетического сырья, торговля фармацевтическими товарами, фармацевтическая промышленность, производство бумаги и бумажных изделий, ИКТ.</w:t>
      </w:r>
    </w:p>
    <w:p w14:paraId="553AAE34" w14:textId="77777777" w:rsidR="007F1857" w:rsidRPr="00842549" w:rsidRDefault="007F1857" w:rsidP="001411D3">
      <w:pPr>
        <w:ind w:left="-567" w:right="423" w:firstLine="567"/>
        <w:jc w:val="both"/>
        <w:rPr>
          <w:rFonts w:eastAsiaTheme="minorEastAsia" w:cstheme="minorHAnsi"/>
          <w:b/>
          <w:bCs/>
          <w:sz w:val="24"/>
          <w:szCs w:val="24"/>
          <w:lang w:eastAsia="ru-RU"/>
        </w:rPr>
      </w:pPr>
      <w:r w:rsidRPr="00842549">
        <w:rPr>
          <w:rFonts w:eastAsiaTheme="minorEastAsia" w:cstheme="minorHAnsi"/>
          <w:b/>
          <w:bCs/>
          <w:sz w:val="24"/>
          <w:szCs w:val="24"/>
          <w:lang w:eastAsia="ru-RU"/>
        </w:rPr>
        <w:t xml:space="preserve">ТОП-10 наиболее рентабельных видов деятельности </w:t>
      </w:r>
      <w:r w:rsidR="00DB3011" w:rsidRPr="00842549">
        <w:rPr>
          <w:rFonts w:eastAsiaTheme="minorEastAsia" w:cstheme="minorHAnsi"/>
          <w:b/>
          <w:bCs/>
          <w:sz w:val="24"/>
          <w:szCs w:val="24"/>
          <w:lang w:eastAsia="ru-RU"/>
        </w:rPr>
        <w:t>БРК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5"/>
        <w:gridCol w:w="1465"/>
        <w:gridCol w:w="1465"/>
        <w:gridCol w:w="1465"/>
      </w:tblGrid>
      <w:tr w:rsidR="00A858ED" w:rsidRPr="009B3AE5" w14:paraId="68917DE4" w14:textId="77777777" w:rsidTr="001A7CB7">
        <w:trPr>
          <w:trHeight w:val="300"/>
        </w:trPr>
        <w:tc>
          <w:tcPr>
            <w:tcW w:w="5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9E79E" w14:textId="77777777" w:rsidR="00A858ED" w:rsidRPr="009B3AE5" w:rsidRDefault="00A858ED" w:rsidP="002318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7735D" w14:textId="77777777" w:rsidR="00A858ED" w:rsidRPr="009B3AE5" w:rsidRDefault="00A858ED" w:rsidP="0023185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B3AE5">
              <w:rPr>
                <w:rFonts w:eastAsia="Times New Roman" w:cstheme="minorHAnsi"/>
                <w:sz w:val="24"/>
                <w:szCs w:val="24"/>
                <w:lang w:eastAsia="ru-RU"/>
              </w:rPr>
              <w:t>Норма чистой прибыли на конец периода</w:t>
            </w:r>
          </w:p>
        </w:tc>
      </w:tr>
      <w:tr w:rsidR="004D5166" w:rsidRPr="009B3AE5" w14:paraId="4B370285" w14:textId="77777777" w:rsidTr="00DD6173">
        <w:trPr>
          <w:trHeight w:val="300"/>
        </w:trPr>
        <w:tc>
          <w:tcPr>
            <w:tcW w:w="5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7C21" w14:textId="77777777" w:rsidR="004D5166" w:rsidRPr="009B3AE5" w:rsidRDefault="004D5166" w:rsidP="004D516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1D1D5" w14:textId="77777777" w:rsidR="004D5166" w:rsidRPr="00C03928" w:rsidRDefault="004D5166" w:rsidP="004D5166">
            <w:r w:rsidRPr="00C03928">
              <w:t>2016-2020 гг.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BBC09" w14:textId="77777777" w:rsidR="004D5166" w:rsidRPr="00C03928" w:rsidRDefault="004D5166" w:rsidP="004D5166">
            <w:r w:rsidRPr="00C03928">
              <w:t>2017-2021 гг.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6F12" w14:textId="70C6FFD4" w:rsidR="004D5166" w:rsidRPr="00C03928" w:rsidRDefault="00B62F90" w:rsidP="004D5166">
            <w:r>
              <w:t xml:space="preserve">Изменение в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</w:tr>
      <w:tr w:rsidR="004D5166" w:rsidRPr="009B3AE5" w14:paraId="637D70CC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8142" w14:textId="77777777" w:rsidR="004D5166" w:rsidRDefault="004D5166" w:rsidP="004D51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Рыболовство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8BC0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54F97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52,2%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4405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36,0</w:t>
            </w:r>
          </w:p>
        </w:tc>
      </w:tr>
      <w:tr w:rsidR="004D5166" w:rsidRPr="009B3AE5" w14:paraId="10ECCCA9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1B0C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Сельское хозяйство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8C81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EEFB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37,2%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DCEA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</w:t>
            </w:r>
          </w:p>
        </w:tc>
      </w:tr>
      <w:tr w:rsidR="004D5166" w:rsidRPr="009B3AE5" w14:paraId="2090ACA0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42617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Добыча и переработка энергетического сырья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311F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5A43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9AAC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</w:t>
            </w:r>
          </w:p>
        </w:tc>
      </w:tr>
      <w:tr w:rsidR="004D5166" w:rsidRPr="009B3AE5" w14:paraId="7A481C27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3E6E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Здравоохранение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E6AB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19,2%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E664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73FA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-0,2</w:t>
            </w:r>
          </w:p>
        </w:tc>
      </w:tr>
      <w:tr w:rsidR="004D5166" w:rsidRPr="009B3AE5" w14:paraId="7FE84740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F84F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Производство строительных материалов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B727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45CF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EC98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-0,4</w:t>
            </w:r>
          </w:p>
        </w:tc>
      </w:tr>
      <w:tr w:rsidR="004D5166" w:rsidRPr="009B3AE5" w14:paraId="2349405E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5FC3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Торговля фармацевтическими товарами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6979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1230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7D00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</w:tr>
      <w:tr w:rsidR="004D5166" w:rsidRPr="009B3AE5" w14:paraId="053AFA03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280B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Металлургия и производство готовых металлических изделий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1C4A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22B1D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12,6%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9E1F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-1,3</w:t>
            </w:r>
          </w:p>
        </w:tc>
      </w:tr>
      <w:tr w:rsidR="004D5166" w:rsidRPr="009B3AE5" w14:paraId="2B019FCD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5EF93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Фармацевтическая промышленность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4B3DF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20D7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C619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</w:tr>
      <w:tr w:rsidR="004D5166" w:rsidRPr="009B3AE5" w14:paraId="350F9D94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328B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Производство бумаги и бумажных изделий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EBBF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FAB91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C7D1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</w:tr>
      <w:tr w:rsidR="004D5166" w:rsidRPr="009B3AE5" w14:paraId="540DF9BC" w14:textId="77777777" w:rsidTr="00DD6173">
        <w:trPr>
          <w:trHeight w:val="30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0BE3" w14:textId="77777777" w:rsidR="004D5166" w:rsidRDefault="004D5166" w:rsidP="004D516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ИКТ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C420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F676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9,8%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EA01" w14:textId="77777777" w:rsidR="004D5166" w:rsidRDefault="004D5166" w:rsidP="004D516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</w:t>
            </w:r>
          </w:p>
        </w:tc>
      </w:tr>
    </w:tbl>
    <w:p w14:paraId="3732852D" w14:textId="77777777" w:rsidR="007F1857" w:rsidRPr="00842549" w:rsidRDefault="007F1857" w:rsidP="007F1857">
      <w:pPr>
        <w:rPr>
          <w:rFonts w:eastAsiaTheme="minorEastAsia" w:cstheme="minorHAnsi"/>
          <w:i/>
          <w:sz w:val="24"/>
          <w:szCs w:val="24"/>
          <w:vertAlign w:val="superscript"/>
          <w:lang w:eastAsia="ru-RU"/>
        </w:rPr>
      </w:pPr>
      <w:r w:rsidRPr="00842549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Источник:</w:t>
      </w:r>
      <w:r w:rsidR="00D2765C" w:rsidRPr="00842549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 xml:space="preserve"> «</w:t>
      </w:r>
      <w:r w:rsidRPr="00842549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СПАРК</w:t>
      </w:r>
      <w:r w:rsidR="00D2765C" w:rsidRPr="00842549">
        <w:rPr>
          <w:rFonts w:eastAsiaTheme="minorEastAsia" w:cstheme="minorHAnsi"/>
          <w:i/>
          <w:sz w:val="24"/>
          <w:szCs w:val="24"/>
          <w:vertAlign w:val="superscript"/>
          <w:lang w:eastAsia="ru-RU"/>
        </w:rPr>
        <w:t>-Интерфакс»</w:t>
      </w:r>
    </w:p>
    <w:p w14:paraId="38587FB4" w14:textId="77777777" w:rsidR="007F1857" w:rsidRPr="001736F2" w:rsidRDefault="00B527D7" w:rsidP="00FD1182">
      <w:pPr>
        <w:ind w:right="423"/>
        <w:rPr>
          <w:rFonts w:eastAsiaTheme="minorEastAsia" w:cstheme="minorHAnsi"/>
          <w:b/>
          <w:sz w:val="24"/>
          <w:szCs w:val="24"/>
          <w:lang w:eastAsia="ru-RU"/>
        </w:rPr>
      </w:pPr>
      <w:r>
        <w:rPr>
          <w:rFonts w:eastAsiaTheme="minorEastAsia" w:cstheme="minorHAnsi"/>
          <w:b/>
          <w:sz w:val="24"/>
          <w:szCs w:val="24"/>
          <w:lang w:eastAsia="ru-RU"/>
        </w:rPr>
        <w:t>В условиях трансформации экономической</w:t>
      </w:r>
      <w:r w:rsidR="0009027D"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 </w:t>
      </w:r>
      <w:r w:rsidR="006C2BA8">
        <w:rPr>
          <w:rFonts w:eastAsiaTheme="minorEastAsia" w:cstheme="minorHAnsi"/>
          <w:b/>
          <w:sz w:val="24"/>
          <w:szCs w:val="24"/>
          <w:lang w:eastAsia="ru-RU"/>
        </w:rPr>
        <w:t>реальност</w:t>
      </w:r>
      <w:r>
        <w:rPr>
          <w:rFonts w:eastAsiaTheme="minorEastAsia" w:cstheme="minorHAnsi"/>
          <w:b/>
          <w:sz w:val="24"/>
          <w:szCs w:val="24"/>
          <w:lang w:eastAsia="ru-RU"/>
        </w:rPr>
        <w:t>и</w:t>
      </w:r>
    </w:p>
    <w:p w14:paraId="3627F675" w14:textId="5CCDCB85" w:rsidR="001C7899" w:rsidRDefault="00DA0B4F" w:rsidP="00BA0C64">
      <w:pPr>
        <w:jc w:val="both"/>
      </w:pPr>
      <w:r>
        <w:t>Пандемия</w:t>
      </w:r>
      <w:r w:rsidR="00B527D7">
        <w:t xml:space="preserve"> </w:t>
      </w:r>
      <w:r w:rsidR="00CB6884">
        <w:t xml:space="preserve">так и </w:t>
      </w:r>
      <w:r>
        <w:t xml:space="preserve">не смогла сдержать развитие феномена быстрорастущих компаний в России, число которых </w:t>
      </w:r>
      <w:r w:rsidR="00CB6884">
        <w:t xml:space="preserve">продолжало устойчиво </w:t>
      </w:r>
      <w:r>
        <w:t>уве</w:t>
      </w:r>
      <w:r w:rsidR="00CB6884">
        <w:t xml:space="preserve">личиваться. Окажет ли </w:t>
      </w:r>
      <w:r w:rsidR="004A6DAC">
        <w:t>«</w:t>
      </w:r>
      <w:r w:rsidR="00CB6884">
        <w:t xml:space="preserve">санкционная </w:t>
      </w:r>
      <w:r w:rsidR="004A6DAC">
        <w:t>истерика»</w:t>
      </w:r>
      <w:r w:rsidR="00CB6884">
        <w:t xml:space="preserve"> сдерживающее </w:t>
      </w:r>
      <w:r w:rsidR="00B62F90">
        <w:t xml:space="preserve">влияние </w:t>
      </w:r>
      <w:r w:rsidR="00CB6884">
        <w:t>на появление точек ускоренного роста в российской экономике</w:t>
      </w:r>
      <w:r w:rsidR="00B62F90">
        <w:t>,</w:t>
      </w:r>
      <w:r w:rsidR="00CB6884">
        <w:t xml:space="preserve"> будет ясно уже через год. </w:t>
      </w:r>
      <w:r w:rsidR="001C7899">
        <w:t xml:space="preserve">Очевидно, что потенциал российской экономики </w:t>
      </w:r>
      <w:r w:rsidR="00261E31">
        <w:t xml:space="preserve">для «газелей» </w:t>
      </w:r>
      <w:r w:rsidR="001C7899">
        <w:t xml:space="preserve">остается далеко не исчерпанным. В его основе </w:t>
      </w:r>
      <w:r w:rsidR="00B62F90">
        <w:t xml:space="preserve">– </w:t>
      </w:r>
      <w:r w:rsidR="00CB6884" w:rsidRPr="001C7899">
        <w:t>практически полн</w:t>
      </w:r>
      <w:r w:rsidR="001C7899" w:rsidRPr="001C7899">
        <w:t xml:space="preserve">ая </w:t>
      </w:r>
      <w:r w:rsidR="00CB6884" w:rsidRPr="001C7899">
        <w:t>самообеспеченность России ресурсами, ключевыми для развития любой страны (энергия, продов</w:t>
      </w:r>
      <w:r w:rsidR="001C7899">
        <w:t xml:space="preserve">ольствие, металлы, лес и пр.), что создает значительные возможности для маневра в ходе активно начавшейся </w:t>
      </w:r>
      <w:r w:rsidR="001C7899" w:rsidRPr="004A6DAC">
        <w:t>трансформации экономической реальности.</w:t>
      </w:r>
    </w:p>
    <w:p w14:paraId="3626A6B8" w14:textId="77777777" w:rsidR="00CB6884" w:rsidRDefault="00CB6884" w:rsidP="00BA0C64">
      <w:pPr>
        <w:jc w:val="both"/>
      </w:pPr>
    </w:p>
    <w:p w14:paraId="03D6ADE0" w14:textId="48E8E5E0" w:rsidR="0045583D" w:rsidRDefault="0045583D" w:rsidP="00842549">
      <w:pPr>
        <w:ind w:right="423"/>
        <w:jc w:val="both"/>
        <w:rPr>
          <w:rFonts w:eastAsiaTheme="minorEastAsia" w:cstheme="minorHAnsi"/>
          <w:b/>
          <w:sz w:val="24"/>
          <w:szCs w:val="24"/>
          <w:lang w:eastAsia="ru-RU"/>
        </w:rPr>
      </w:pPr>
      <w:r w:rsidRPr="001736F2">
        <w:rPr>
          <w:rFonts w:eastAsiaTheme="minorEastAsia" w:cstheme="minorHAnsi"/>
          <w:b/>
          <w:sz w:val="24"/>
          <w:szCs w:val="24"/>
          <w:lang w:eastAsia="ru-RU"/>
        </w:rPr>
        <w:lastRenderedPageBreak/>
        <w:t>ТОП</w:t>
      </w:r>
      <w:r w:rsidR="00B62F90">
        <w:rPr>
          <w:rFonts w:eastAsiaTheme="minorEastAsia" w:cstheme="minorHAnsi"/>
          <w:b/>
          <w:sz w:val="24"/>
          <w:szCs w:val="24"/>
          <w:lang w:eastAsia="ru-RU"/>
        </w:rPr>
        <w:t>-</w:t>
      </w:r>
      <w:r w:rsidRPr="001736F2">
        <w:rPr>
          <w:rFonts w:eastAsiaTheme="minorEastAsia" w:cstheme="minorHAnsi"/>
          <w:b/>
          <w:sz w:val="24"/>
          <w:szCs w:val="24"/>
          <w:lang w:eastAsia="ru-RU"/>
        </w:rPr>
        <w:t>5 быстрорастущих компаний России</w:t>
      </w:r>
      <w:r w:rsidR="00234E32"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 в 201</w:t>
      </w:r>
      <w:r w:rsidR="00C42D83">
        <w:rPr>
          <w:rFonts w:eastAsiaTheme="minorEastAsia" w:cstheme="minorHAnsi"/>
          <w:b/>
          <w:sz w:val="24"/>
          <w:szCs w:val="24"/>
          <w:lang w:eastAsia="ru-RU"/>
        </w:rPr>
        <w:t>6-2020</w:t>
      </w:r>
      <w:r w:rsidR="00234E32"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 гг.</w:t>
      </w:r>
    </w:p>
    <w:p w14:paraId="5DD9135C" w14:textId="4D38C5BF" w:rsidR="0088220B" w:rsidRDefault="009C25B5" w:rsidP="00842549">
      <w:pPr>
        <w:ind w:right="423"/>
        <w:jc w:val="both"/>
      </w:pPr>
      <w:r w:rsidRPr="001736F2">
        <w:t xml:space="preserve">ООО </w:t>
      </w:r>
      <w:r w:rsidR="00B62F90">
        <w:t>«</w:t>
      </w:r>
      <w:r w:rsidRPr="009C25B5">
        <w:t>НАФТАИНВЕСТ</w:t>
      </w:r>
      <w:r w:rsidR="00B62F90">
        <w:t xml:space="preserve">» – </w:t>
      </w:r>
      <w:r w:rsidR="008E01EF" w:rsidRPr="001736F2">
        <w:t>один из крупнейших операторов</w:t>
      </w:r>
      <w:r w:rsidR="008E01EF">
        <w:t xml:space="preserve">, специализирующихся на </w:t>
      </w:r>
      <w:r w:rsidR="002F0A7D">
        <w:t>п</w:t>
      </w:r>
      <w:r w:rsidR="002F0A7D" w:rsidRPr="002F0A7D">
        <w:t>оставк</w:t>
      </w:r>
      <w:r w:rsidR="008E01EF">
        <w:t>е</w:t>
      </w:r>
      <w:r w:rsidR="002F0A7D" w:rsidRPr="002F0A7D">
        <w:t xml:space="preserve"> качественных нефтепродуктов оптом и комплексн</w:t>
      </w:r>
      <w:r w:rsidR="008E01EF">
        <w:t>ой реализации</w:t>
      </w:r>
      <w:r w:rsidR="002F0A7D" w:rsidRPr="002F0A7D">
        <w:t xml:space="preserve"> </w:t>
      </w:r>
      <w:proofErr w:type="spellStart"/>
      <w:r w:rsidR="002F0A7D" w:rsidRPr="002F0A7D">
        <w:t>нефтеторговых</w:t>
      </w:r>
      <w:proofErr w:type="spellEnd"/>
      <w:r w:rsidR="002F0A7D" w:rsidRPr="002F0A7D">
        <w:t xml:space="preserve"> контрактов.</w:t>
      </w:r>
    </w:p>
    <w:p w14:paraId="6BC897F8" w14:textId="77777777" w:rsidR="002F0A7D" w:rsidRDefault="008F3297" w:rsidP="00842549">
      <w:pPr>
        <w:ind w:right="423"/>
        <w:jc w:val="both"/>
      </w:pPr>
      <w:hyperlink r:id="rId8" w:history="1">
        <w:r w:rsidR="002F0A7D" w:rsidRPr="00373A56">
          <w:rPr>
            <w:rStyle w:val="a7"/>
          </w:rPr>
          <w:t>http://nafta-invest.com</w:t>
        </w:r>
      </w:hyperlink>
    </w:p>
    <w:p w14:paraId="097B0659" w14:textId="2B0D1ACD" w:rsidR="009C25B5" w:rsidRPr="001736F2" w:rsidRDefault="0088220B" w:rsidP="00842549">
      <w:pPr>
        <w:jc w:val="both"/>
        <w:rPr>
          <w:rStyle w:val="a7"/>
          <w:rFonts w:cstheme="minorHAnsi"/>
          <w:color w:val="auto"/>
          <w:sz w:val="24"/>
          <w:szCs w:val="24"/>
        </w:rPr>
      </w:pPr>
      <w:r w:rsidRPr="001736F2">
        <w:t xml:space="preserve">ООО </w:t>
      </w:r>
      <w:r w:rsidR="00B62F90">
        <w:t>«</w:t>
      </w:r>
      <w:r w:rsidRPr="0088220B">
        <w:t>ЮЖНЫЕ ВТОРИЧНЫЕ МЕТАЛЛЫ 23</w:t>
      </w:r>
      <w:r w:rsidR="00B62F90">
        <w:t xml:space="preserve">» – </w:t>
      </w:r>
      <w:r w:rsidR="009C25B5" w:rsidRPr="001736F2">
        <w:t xml:space="preserve">один из крупнейших операторов </w:t>
      </w:r>
      <w:r w:rsidR="009C25B5">
        <w:t xml:space="preserve">по оптовой торговле отходами и ломом </w:t>
      </w:r>
      <w:r w:rsidR="009C25B5" w:rsidRPr="009C25B5">
        <w:t>черных и цветных металлов</w:t>
      </w:r>
      <w:r w:rsidR="009C25B5">
        <w:t>.</w:t>
      </w:r>
    </w:p>
    <w:p w14:paraId="4FAF448C" w14:textId="77777777" w:rsidR="0088220B" w:rsidRPr="00842549" w:rsidRDefault="008F3297" w:rsidP="00842549">
      <w:pPr>
        <w:ind w:right="423"/>
        <w:jc w:val="both"/>
        <w:rPr>
          <w:rFonts w:eastAsiaTheme="minorEastAsia" w:cstheme="minorHAnsi"/>
          <w:sz w:val="24"/>
          <w:szCs w:val="24"/>
          <w:lang w:eastAsia="ru-RU"/>
        </w:rPr>
      </w:pPr>
      <w:hyperlink r:id="rId9" w:history="1">
        <w:r w:rsidR="0088220B" w:rsidRPr="00842549">
          <w:rPr>
            <w:rStyle w:val="a7"/>
            <w:rFonts w:eastAsiaTheme="minorEastAsia" w:cstheme="minorHAnsi"/>
            <w:sz w:val="24"/>
            <w:szCs w:val="24"/>
            <w:lang w:eastAsia="ru-RU"/>
          </w:rPr>
          <w:t>https://vk.com/uvm23</w:t>
        </w:r>
      </w:hyperlink>
    </w:p>
    <w:p w14:paraId="11E57BE4" w14:textId="3CDC3097" w:rsidR="00CA6F91" w:rsidRDefault="00CA6F91" w:rsidP="00842549">
      <w:pPr>
        <w:jc w:val="both"/>
      </w:pPr>
      <w:r w:rsidRPr="001736F2">
        <w:t xml:space="preserve">ООО </w:t>
      </w:r>
      <w:r w:rsidR="00B62F90">
        <w:t>«</w:t>
      </w:r>
      <w:r w:rsidRPr="00CA6F91">
        <w:t>БЕТРИНГ</w:t>
      </w:r>
      <w:r w:rsidR="00B62F90">
        <w:t xml:space="preserve">» </w:t>
      </w:r>
      <w:r>
        <w:t xml:space="preserve">– </w:t>
      </w:r>
      <w:r w:rsidRPr="004C6941">
        <w:t>официальная букмекерская контора</w:t>
      </w:r>
      <w:r>
        <w:t xml:space="preserve">, предлагающая </w:t>
      </w:r>
      <w:r w:rsidRPr="004C6941">
        <w:t>широкую линию спортивных событий для ставок на спорт</w:t>
      </w:r>
      <w:r>
        <w:t>.</w:t>
      </w:r>
    </w:p>
    <w:p w14:paraId="2BCE82D1" w14:textId="77777777" w:rsidR="00CA6F91" w:rsidRPr="00842549" w:rsidRDefault="008F3297" w:rsidP="00842549">
      <w:pPr>
        <w:ind w:right="423"/>
        <w:jc w:val="both"/>
        <w:rPr>
          <w:rFonts w:eastAsiaTheme="minorEastAsia" w:cstheme="minorHAnsi"/>
          <w:sz w:val="24"/>
          <w:szCs w:val="24"/>
          <w:lang w:eastAsia="ru-RU"/>
        </w:rPr>
      </w:pPr>
      <w:hyperlink r:id="rId10" w:history="1">
        <w:r w:rsidR="00CA6F91" w:rsidRPr="00842549">
          <w:rPr>
            <w:rStyle w:val="a7"/>
            <w:rFonts w:eastAsiaTheme="minorEastAsia" w:cstheme="minorHAnsi"/>
            <w:sz w:val="24"/>
            <w:szCs w:val="24"/>
            <w:lang w:eastAsia="ru-RU"/>
          </w:rPr>
          <w:t>https://www.pari.ru</w:t>
        </w:r>
      </w:hyperlink>
    </w:p>
    <w:p w14:paraId="2C7D4D1D" w14:textId="42C9DC1B" w:rsidR="00CA6F91" w:rsidRDefault="00CA6F91" w:rsidP="00842549">
      <w:pPr>
        <w:jc w:val="both"/>
      </w:pPr>
      <w:r w:rsidRPr="001736F2">
        <w:t xml:space="preserve">ООО </w:t>
      </w:r>
      <w:r w:rsidR="00DB51AE">
        <w:t>«</w:t>
      </w:r>
      <w:r w:rsidRPr="004C6941">
        <w:t>БК ОЛИМП</w:t>
      </w:r>
      <w:r w:rsidR="00DB51AE">
        <w:t>»</w:t>
      </w:r>
      <w:r w:rsidR="00DB51AE" w:rsidRPr="001736F2">
        <w:t xml:space="preserve"> </w:t>
      </w:r>
      <w:r w:rsidR="00DB51AE">
        <w:t>–</w:t>
      </w:r>
      <w:r>
        <w:t xml:space="preserve"> </w:t>
      </w:r>
      <w:r w:rsidRPr="004C6941">
        <w:t>официальная букмекерская контора</w:t>
      </w:r>
      <w:r>
        <w:t xml:space="preserve">, предлагающая </w:t>
      </w:r>
      <w:r w:rsidRPr="004C6941">
        <w:t>широкую линию спортивных событий для ставок на спорт</w:t>
      </w:r>
      <w:r>
        <w:t>.</w:t>
      </w:r>
    </w:p>
    <w:p w14:paraId="5E042C6C" w14:textId="77777777" w:rsidR="00CA6F91" w:rsidRDefault="008F3297" w:rsidP="00842549">
      <w:pPr>
        <w:autoSpaceDE w:val="0"/>
        <w:autoSpaceDN w:val="0"/>
        <w:adjustRightInd w:val="0"/>
        <w:jc w:val="both"/>
        <w:rPr>
          <w:rStyle w:val="a7"/>
        </w:rPr>
      </w:pPr>
      <w:hyperlink r:id="rId11" w:history="1">
        <w:r w:rsidR="00CA6F91" w:rsidRPr="00C352D4">
          <w:rPr>
            <w:rStyle w:val="a7"/>
          </w:rPr>
          <w:t>https://www.olimp.bet/</w:t>
        </w:r>
      </w:hyperlink>
    </w:p>
    <w:p w14:paraId="612911BC" w14:textId="4F6BF8EC" w:rsidR="004C6941" w:rsidRPr="001736F2" w:rsidRDefault="004C6941" w:rsidP="00842549">
      <w:pPr>
        <w:jc w:val="both"/>
        <w:rPr>
          <w:rStyle w:val="a7"/>
          <w:rFonts w:cstheme="minorHAnsi"/>
          <w:color w:val="auto"/>
          <w:sz w:val="24"/>
          <w:szCs w:val="24"/>
        </w:rPr>
      </w:pPr>
      <w:r w:rsidRPr="001736F2">
        <w:t xml:space="preserve">ООО </w:t>
      </w:r>
      <w:r w:rsidR="00DB51AE">
        <w:t>«</w:t>
      </w:r>
      <w:r w:rsidR="00342603" w:rsidRPr="00342603">
        <w:t xml:space="preserve">ПРОМЫШЛЕННАЯ ГРУППА </w:t>
      </w:r>
      <w:r w:rsidR="00DB51AE">
        <w:t>«</w:t>
      </w:r>
      <w:r w:rsidR="00342603" w:rsidRPr="00342603">
        <w:t>УРАЛВТОРМЕТ</w:t>
      </w:r>
      <w:r w:rsidR="00DB51AE">
        <w:t>»</w:t>
      </w:r>
      <w:r w:rsidR="00DB51AE" w:rsidRPr="001736F2">
        <w:t xml:space="preserve"> </w:t>
      </w:r>
      <w:r w:rsidR="00DB51AE">
        <w:t>–</w:t>
      </w:r>
      <w:r w:rsidRPr="001736F2">
        <w:t xml:space="preserve"> один из крупнейших операторов </w:t>
      </w:r>
      <w:r w:rsidR="00B1537E">
        <w:t>по оптовой торговле отходами и ломом</w:t>
      </w:r>
      <w:r w:rsidR="009C25B5">
        <w:t>.</w:t>
      </w:r>
    </w:p>
    <w:p w14:paraId="7F9A45B7" w14:textId="77777777" w:rsidR="009C25B5" w:rsidRPr="001736F2" w:rsidRDefault="00C1604C" w:rsidP="009C25B5">
      <w:pPr>
        <w:rPr>
          <w:rFonts w:eastAsiaTheme="minorEastAsia" w:cstheme="minorHAnsi"/>
          <w:sz w:val="24"/>
          <w:szCs w:val="24"/>
          <w:lang w:eastAsia="ru-RU"/>
        </w:rPr>
      </w:pPr>
      <w:r>
        <w:t xml:space="preserve">        </w:t>
      </w:r>
    </w:p>
    <w:p w14:paraId="5E089A90" w14:textId="414382D2" w:rsidR="002608BC" w:rsidRPr="001736F2" w:rsidRDefault="007F1857">
      <w:pPr>
        <w:rPr>
          <w:rFonts w:cstheme="minorHAnsi"/>
          <w:sz w:val="24"/>
          <w:szCs w:val="24"/>
        </w:rPr>
      </w:pPr>
      <w:r w:rsidRPr="001736F2">
        <w:rPr>
          <w:rFonts w:eastAsiaTheme="minorEastAsia" w:cstheme="minorHAnsi"/>
          <w:b/>
          <w:sz w:val="24"/>
          <w:szCs w:val="24"/>
          <w:lang w:eastAsia="ru-RU"/>
        </w:rPr>
        <w:t>ТОП</w:t>
      </w:r>
      <w:r w:rsidR="00DB51AE">
        <w:rPr>
          <w:rFonts w:eastAsiaTheme="minorEastAsia" w:cstheme="minorHAnsi"/>
          <w:b/>
          <w:sz w:val="24"/>
          <w:szCs w:val="24"/>
          <w:lang w:eastAsia="ru-RU"/>
        </w:rPr>
        <w:t>-</w:t>
      </w:r>
      <w:r w:rsidRPr="001736F2">
        <w:rPr>
          <w:rFonts w:eastAsiaTheme="minorEastAsia" w:cstheme="minorHAnsi"/>
          <w:b/>
          <w:sz w:val="24"/>
          <w:szCs w:val="24"/>
          <w:lang w:eastAsia="ru-RU"/>
        </w:rPr>
        <w:t>50 быстрорастущих компаний</w:t>
      </w:r>
      <w:r w:rsidR="0045583D" w:rsidRPr="001736F2">
        <w:rPr>
          <w:rFonts w:eastAsiaTheme="minorEastAsia" w:cstheme="minorHAnsi"/>
          <w:b/>
          <w:sz w:val="24"/>
          <w:szCs w:val="24"/>
          <w:lang w:eastAsia="ru-RU"/>
        </w:rPr>
        <w:t xml:space="preserve"> России</w:t>
      </w:r>
    </w:p>
    <w:tbl>
      <w:tblPr>
        <w:tblW w:w="102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89"/>
        <w:gridCol w:w="670"/>
        <w:gridCol w:w="2370"/>
        <w:gridCol w:w="1422"/>
        <w:gridCol w:w="1930"/>
        <w:gridCol w:w="987"/>
        <w:gridCol w:w="847"/>
        <w:gridCol w:w="840"/>
      </w:tblGrid>
      <w:tr w:rsidR="00FE3670" w:rsidRPr="001736F2" w14:paraId="55882C27" w14:textId="77777777" w:rsidTr="00867954">
        <w:trPr>
          <w:trHeight w:val="330"/>
        </w:trPr>
        <w:tc>
          <w:tcPr>
            <w:tcW w:w="1179" w:type="dxa"/>
            <w:gridSpan w:val="2"/>
            <w:noWrap/>
            <w:vAlign w:val="bottom"/>
          </w:tcPr>
          <w:p w14:paraId="0B1E719D" w14:textId="77777777" w:rsidR="002608BC" w:rsidRPr="001736F2" w:rsidRDefault="002608BC" w:rsidP="002F5D53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671" w:type="dxa"/>
            <w:vMerge w:val="restart"/>
            <w:noWrap/>
            <w:vAlign w:val="bottom"/>
          </w:tcPr>
          <w:p w14:paraId="29F94BB5" w14:textId="77777777" w:rsidR="002608BC" w:rsidRPr="001736F2" w:rsidRDefault="002608BC" w:rsidP="002608BC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Темпы при-</w:t>
            </w:r>
          </w:p>
          <w:p w14:paraId="5BDA3705" w14:textId="77777777" w:rsidR="002608BC" w:rsidRPr="001736F2" w:rsidRDefault="002608BC" w:rsidP="00867954">
            <w:pPr>
              <w:spacing w:after="0" w:line="240" w:lineRule="auto"/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роста (201</w:t>
            </w:r>
            <w:r w:rsid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</w:t>
            </w:r>
            <w:r w:rsidR="004F5407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-202</w:t>
            </w:r>
            <w:r w:rsid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</w:t>
            </w: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350" w:type="dxa"/>
            <w:vMerge w:val="restart"/>
            <w:noWrap/>
            <w:vAlign w:val="bottom"/>
          </w:tcPr>
          <w:p w14:paraId="5D7D939B" w14:textId="77777777" w:rsidR="002608BC" w:rsidRPr="001736F2" w:rsidRDefault="002608BC" w:rsidP="002F5D53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Компания</w:t>
            </w:r>
          </w:p>
        </w:tc>
        <w:tc>
          <w:tcPr>
            <w:tcW w:w="1426" w:type="dxa"/>
            <w:vMerge w:val="restart"/>
            <w:noWrap/>
            <w:vAlign w:val="bottom"/>
          </w:tcPr>
          <w:p w14:paraId="35948484" w14:textId="77777777" w:rsidR="002608BC" w:rsidRPr="001736F2" w:rsidRDefault="002608BC" w:rsidP="002F5D53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1936" w:type="dxa"/>
            <w:vMerge w:val="restart"/>
            <w:tcBorders>
              <w:bottom w:val="single" w:sz="4" w:space="0" w:color="auto"/>
            </w:tcBorders>
            <w:noWrap/>
            <w:vAlign w:val="bottom"/>
          </w:tcPr>
          <w:p w14:paraId="1DAC8250" w14:textId="77777777" w:rsidR="002608BC" w:rsidRPr="001736F2" w:rsidRDefault="002608BC" w:rsidP="002F5D53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Сектор</w:t>
            </w:r>
          </w:p>
        </w:tc>
        <w:tc>
          <w:tcPr>
            <w:tcW w:w="990" w:type="dxa"/>
            <w:vMerge w:val="restart"/>
            <w:noWrap/>
            <w:vAlign w:val="bottom"/>
          </w:tcPr>
          <w:p w14:paraId="7E10000A" w14:textId="55FE817D" w:rsidR="002608BC" w:rsidRPr="001736F2" w:rsidRDefault="002608BC" w:rsidP="006B5DBA">
            <w:pPr>
              <w:spacing w:after="0" w:line="240" w:lineRule="auto"/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Выручка в 20</w:t>
            </w:r>
            <w:r w:rsidR="00A97E07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</w:t>
            </w:r>
            <w:r w:rsidR="006B5DBA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</w:t>
            </w: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 xml:space="preserve"> г., млн руб</w:t>
            </w:r>
            <w:r w:rsidR="00DB51AE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49" w:type="dxa"/>
            <w:vMerge w:val="restart"/>
            <w:noWrap/>
            <w:vAlign w:val="bottom"/>
          </w:tcPr>
          <w:p w14:paraId="46DE7CB0" w14:textId="77777777" w:rsidR="002608BC" w:rsidRPr="001736F2" w:rsidRDefault="002608BC" w:rsidP="002F5D53">
            <w:pPr>
              <w:spacing w:after="0" w:line="240" w:lineRule="auto"/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Норма чистой прибыли</w:t>
            </w:r>
          </w:p>
        </w:tc>
        <w:tc>
          <w:tcPr>
            <w:tcW w:w="842" w:type="dxa"/>
            <w:vMerge w:val="restart"/>
            <w:noWrap/>
            <w:vAlign w:val="bottom"/>
          </w:tcPr>
          <w:p w14:paraId="60624BEB" w14:textId="77777777" w:rsidR="002608BC" w:rsidRPr="001736F2" w:rsidRDefault="002608BC" w:rsidP="00887F1A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 xml:space="preserve">Индекс </w:t>
            </w:r>
            <w:proofErr w:type="spellStart"/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финан</w:t>
            </w:r>
            <w:proofErr w:type="spellEnd"/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  <w:p w14:paraId="36076A5C" w14:textId="77777777" w:rsidR="002608BC" w:rsidRPr="001736F2" w:rsidRDefault="002608BC" w:rsidP="00887F1A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proofErr w:type="spellStart"/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сового</w:t>
            </w:r>
            <w:proofErr w:type="spellEnd"/>
            <w:r w:rsidRPr="001736F2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 xml:space="preserve"> риска СПАРК</w:t>
            </w:r>
          </w:p>
        </w:tc>
      </w:tr>
      <w:tr w:rsidR="00FE3670" w:rsidRPr="00D15091" w14:paraId="54DC9353" w14:textId="77777777" w:rsidTr="00867954">
        <w:trPr>
          <w:trHeight w:val="330"/>
        </w:trPr>
        <w:tc>
          <w:tcPr>
            <w:tcW w:w="590" w:type="dxa"/>
            <w:noWrap/>
            <w:vAlign w:val="bottom"/>
          </w:tcPr>
          <w:p w14:paraId="6412C11D" w14:textId="77777777" w:rsidR="00A858ED" w:rsidRPr="00867954" w:rsidRDefault="00A858ED" w:rsidP="00A858ED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201</w:t>
            </w:r>
            <w:r w:rsidR="006B5DBA"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</w:t>
            </w: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  <w:p w14:paraId="3E87536C" w14:textId="77777777" w:rsidR="002608BC" w:rsidRPr="00867954" w:rsidRDefault="004F5407" w:rsidP="006B5DBA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202</w:t>
            </w:r>
            <w:r w:rsidR="006B5DBA"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noWrap/>
            <w:vAlign w:val="bottom"/>
          </w:tcPr>
          <w:p w14:paraId="68982090" w14:textId="77777777" w:rsidR="006B5DBA" w:rsidRPr="00867954" w:rsidRDefault="006B5DBA" w:rsidP="006B5DBA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2016-</w:t>
            </w:r>
          </w:p>
          <w:p w14:paraId="2F261559" w14:textId="77777777" w:rsidR="002608BC" w:rsidRPr="00867954" w:rsidRDefault="006B5DBA" w:rsidP="006B5DBA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671" w:type="dxa"/>
            <w:vMerge/>
            <w:noWrap/>
            <w:vAlign w:val="bottom"/>
          </w:tcPr>
          <w:p w14:paraId="630DB36C" w14:textId="77777777" w:rsidR="002608BC" w:rsidRPr="00867954" w:rsidRDefault="002608BC" w:rsidP="002F5D53">
            <w:pPr>
              <w:spacing w:after="0" w:line="240" w:lineRule="auto"/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noWrap/>
            <w:vAlign w:val="bottom"/>
          </w:tcPr>
          <w:p w14:paraId="1FA92A00" w14:textId="77777777" w:rsidR="002608BC" w:rsidRPr="00867954" w:rsidRDefault="002608BC" w:rsidP="002F5D53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426" w:type="dxa"/>
            <w:vMerge/>
            <w:noWrap/>
            <w:vAlign w:val="bottom"/>
          </w:tcPr>
          <w:p w14:paraId="37BD0DD4" w14:textId="77777777" w:rsidR="002608BC" w:rsidRPr="00867954" w:rsidRDefault="002608BC" w:rsidP="002F5D53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6AC850F5" w14:textId="77777777" w:rsidR="002608BC" w:rsidRPr="00867954" w:rsidRDefault="002608BC" w:rsidP="002F5D53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noWrap/>
            <w:vAlign w:val="bottom"/>
          </w:tcPr>
          <w:p w14:paraId="21D6CA21" w14:textId="77777777" w:rsidR="002608BC" w:rsidRPr="00867954" w:rsidRDefault="002608BC" w:rsidP="002F5D53">
            <w:pPr>
              <w:spacing w:after="0" w:line="240" w:lineRule="auto"/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noWrap/>
            <w:vAlign w:val="bottom"/>
          </w:tcPr>
          <w:p w14:paraId="48152908" w14:textId="77777777" w:rsidR="002608BC" w:rsidRPr="00867954" w:rsidRDefault="002608BC" w:rsidP="002F5D53">
            <w:pPr>
              <w:spacing w:after="0" w:line="240" w:lineRule="auto"/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Merge/>
            <w:noWrap/>
            <w:vAlign w:val="bottom"/>
          </w:tcPr>
          <w:p w14:paraId="6ED3F7F6" w14:textId="77777777" w:rsidR="002608BC" w:rsidRPr="00867954" w:rsidRDefault="002608BC" w:rsidP="00887F1A">
            <w:pPr>
              <w:spacing w:after="0" w:line="240" w:lineRule="auto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</w:p>
        </w:tc>
      </w:tr>
      <w:tr w:rsidR="00867954" w:rsidRPr="00D15091" w14:paraId="761D7ADF" w14:textId="77777777" w:rsidTr="00867954">
        <w:trPr>
          <w:trHeight w:val="330"/>
        </w:trPr>
        <w:tc>
          <w:tcPr>
            <w:tcW w:w="590" w:type="dxa"/>
            <w:noWrap/>
            <w:vAlign w:val="bottom"/>
            <w:hideMark/>
          </w:tcPr>
          <w:p w14:paraId="2D0CB3D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89" w:type="dxa"/>
            <w:noWrap/>
            <w:vAlign w:val="bottom"/>
            <w:hideMark/>
          </w:tcPr>
          <w:p w14:paraId="5B5C0D0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756CC22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285%</w:t>
            </w:r>
          </w:p>
        </w:tc>
        <w:tc>
          <w:tcPr>
            <w:tcW w:w="2350" w:type="dxa"/>
            <w:noWrap/>
            <w:vAlign w:val="bottom"/>
            <w:hideMark/>
          </w:tcPr>
          <w:p w14:paraId="6861084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НАФТАИНВЕСТ,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6D86F83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EE065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твердым, жидким и газообразным топливом и подобными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5F760AD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35 129</w:t>
            </w:r>
          </w:p>
        </w:tc>
        <w:tc>
          <w:tcPr>
            <w:tcW w:w="849" w:type="dxa"/>
            <w:noWrap/>
            <w:vAlign w:val="bottom"/>
            <w:hideMark/>
          </w:tcPr>
          <w:p w14:paraId="4E8B1F8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0,8%</w:t>
            </w:r>
          </w:p>
        </w:tc>
        <w:tc>
          <w:tcPr>
            <w:tcW w:w="842" w:type="dxa"/>
            <w:noWrap/>
            <w:vAlign w:val="bottom"/>
            <w:hideMark/>
          </w:tcPr>
          <w:p w14:paraId="4A45E2E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</w:t>
            </w:r>
          </w:p>
        </w:tc>
      </w:tr>
      <w:tr w:rsidR="00867954" w:rsidRPr="00D15091" w14:paraId="1C2C288D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3FFB27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89" w:type="dxa"/>
            <w:noWrap/>
            <w:vAlign w:val="bottom"/>
            <w:hideMark/>
          </w:tcPr>
          <w:p w14:paraId="636FAB2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E0591B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218%</w:t>
            </w:r>
          </w:p>
        </w:tc>
        <w:tc>
          <w:tcPr>
            <w:tcW w:w="2350" w:type="dxa"/>
            <w:noWrap/>
            <w:vAlign w:val="bottom"/>
            <w:hideMark/>
          </w:tcPr>
          <w:p w14:paraId="46B318AE" w14:textId="77777777" w:rsidR="00867954" w:rsidRPr="00867954" w:rsidRDefault="000A3A29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0A3A29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ЮЖНЫЕ ВТОРИЧНЫЕ МЕТАЛЛЫ 23</w:t>
            </w:r>
            <w:r w:rsidR="00867954"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5FC69BD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Тверская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6155254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отходами и ломом</w:t>
            </w:r>
          </w:p>
        </w:tc>
        <w:tc>
          <w:tcPr>
            <w:tcW w:w="990" w:type="dxa"/>
            <w:noWrap/>
            <w:vAlign w:val="bottom"/>
            <w:hideMark/>
          </w:tcPr>
          <w:p w14:paraId="1A84DC8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27 530</w:t>
            </w:r>
          </w:p>
        </w:tc>
        <w:tc>
          <w:tcPr>
            <w:tcW w:w="849" w:type="dxa"/>
            <w:noWrap/>
            <w:vAlign w:val="bottom"/>
            <w:hideMark/>
          </w:tcPr>
          <w:p w14:paraId="760D13E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0,4%</w:t>
            </w:r>
          </w:p>
        </w:tc>
        <w:tc>
          <w:tcPr>
            <w:tcW w:w="842" w:type="dxa"/>
            <w:noWrap/>
            <w:vAlign w:val="bottom"/>
            <w:hideMark/>
          </w:tcPr>
          <w:p w14:paraId="6EC1CEE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15</w:t>
            </w:r>
          </w:p>
        </w:tc>
      </w:tr>
      <w:tr w:rsidR="00867954" w:rsidRPr="00D15091" w14:paraId="2A913330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51C639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9" w:type="dxa"/>
            <w:noWrap/>
            <w:vAlign w:val="bottom"/>
            <w:hideMark/>
          </w:tcPr>
          <w:p w14:paraId="0D2584C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73648A5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184%</w:t>
            </w:r>
          </w:p>
        </w:tc>
        <w:tc>
          <w:tcPr>
            <w:tcW w:w="2350" w:type="dxa"/>
            <w:noWrap/>
            <w:vAlign w:val="bottom"/>
            <w:hideMark/>
          </w:tcPr>
          <w:p w14:paraId="731CB5B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БЕТРИНГ,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2F7567C9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Ростовская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461B463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по организации и проведению азартных игр и заключения пари</w:t>
            </w:r>
          </w:p>
        </w:tc>
        <w:tc>
          <w:tcPr>
            <w:tcW w:w="990" w:type="dxa"/>
            <w:noWrap/>
            <w:vAlign w:val="bottom"/>
            <w:hideMark/>
          </w:tcPr>
          <w:p w14:paraId="1F6073C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45 559</w:t>
            </w:r>
          </w:p>
        </w:tc>
        <w:tc>
          <w:tcPr>
            <w:tcW w:w="849" w:type="dxa"/>
            <w:noWrap/>
            <w:vAlign w:val="bottom"/>
            <w:hideMark/>
          </w:tcPr>
          <w:p w14:paraId="524793E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5,7%</w:t>
            </w:r>
          </w:p>
        </w:tc>
        <w:tc>
          <w:tcPr>
            <w:tcW w:w="842" w:type="dxa"/>
            <w:noWrap/>
            <w:vAlign w:val="bottom"/>
            <w:hideMark/>
          </w:tcPr>
          <w:p w14:paraId="1F01FE9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15</w:t>
            </w:r>
          </w:p>
        </w:tc>
      </w:tr>
      <w:tr w:rsidR="00867954" w:rsidRPr="00D15091" w14:paraId="5B168B3A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1F6578B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9" w:type="dxa"/>
            <w:noWrap/>
            <w:vAlign w:val="bottom"/>
            <w:hideMark/>
          </w:tcPr>
          <w:p w14:paraId="12D54B9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1" w:type="dxa"/>
            <w:noWrap/>
            <w:vAlign w:val="bottom"/>
            <w:hideMark/>
          </w:tcPr>
          <w:p w14:paraId="1BC0C4E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183%</w:t>
            </w:r>
          </w:p>
        </w:tc>
        <w:tc>
          <w:tcPr>
            <w:tcW w:w="2350" w:type="dxa"/>
            <w:noWrap/>
            <w:vAlign w:val="bottom"/>
            <w:hideMark/>
          </w:tcPr>
          <w:p w14:paraId="4D4EB9D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БК ОЛИМП,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603C6AD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08DB65A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по организации и проведению азартных игр и заключения пари</w:t>
            </w:r>
          </w:p>
        </w:tc>
        <w:tc>
          <w:tcPr>
            <w:tcW w:w="990" w:type="dxa"/>
            <w:noWrap/>
            <w:vAlign w:val="bottom"/>
            <w:hideMark/>
          </w:tcPr>
          <w:p w14:paraId="63D70C8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25 228</w:t>
            </w:r>
          </w:p>
        </w:tc>
        <w:tc>
          <w:tcPr>
            <w:tcW w:w="849" w:type="dxa"/>
            <w:noWrap/>
            <w:vAlign w:val="bottom"/>
            <w:hideMark/>
          </w:tcPr>
          <w:p w14:paraId="4C07BF7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0,1%</w:t>
            </w:r>
          </w:p>
        </w:tc>
        <w:tc>
          <w:tcPr>
            <w:tcW w:w="842" w:type="dxa"/>
            <w:noWrap/>
            <w:vAlign w:val="bottom"/>
            <w:hideMark/>
          </w:tcPr>
          <w:p w14:paraId="6048920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21</w:t>
            </w:r>
          </w:p>
        </w:tc>
      </w:tr>
      <w:tr w:rsidR="00867954" w:rsidRPr="00D15091" w14:paraId="0EA46A9D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AE81FD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89" w:type="dxa"/>
            <w:noWrap/>
            <w:vAlign w:val="bottom"/>
            <w:hideMark/>
          </w:tcPr>
          <w:p w14:paraId="061B3B6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5DC38BC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173%</w:t>
            </w:r>
          </w:p>
        </w:tc>
        <w:tc>
          <w:tcPr>
            <w:tcW w:w="2350" w:type="dxa"/>
            <w:noWrap/>
            <w:vAlign w:val="bottom"/>
            <w:hideMark/>
          </w:tcPr>
          <w:p w14:paraId="31D6409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УРАЛВТОРМЕТ, ООО ПГ</w:t>
            </w:r>
          </w:p>
        </w:tc>
        <w:tc>
          <w:tcPr>
            <w:tcW w:w="1426" w:type="dxa"/>
            <w:noWrap/>
            <w:vAlign w:val="bottom"/>
            <w:hideMark/>
          </w:tcPr>
          <w:p w14:paraId="0377A40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Свердловская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1FDCD14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отходами и ломом</w:t>
            </w:r>
          </w:p>
        </w:tc>
        <w:tc>
          <w:tcPr>
            <w:tcW w:w="990" w:type="dxa"/>
            <w:noWrap/>
            <w:vAlign w:val="bottom"/>
            <w:hideMark/>
          </w:tcPr>
          <w:p w14:paraId="75563D4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29 781</w:t>
            </w:r>
          </w:p>
        </w:tc>
        <w:tc>
          <w:tcPr>
            <w:tcW w:w="849" w:type="dxa"/>
            <w:noWrap/>
            <w:vAlign w:val="bottom"/>
            <w:hideMark/>
          </w:tcPr>
          <w:p w14:paraId="0878CEF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0,7%</w:t>
            </w:r>
          </w:p>
        </w:tc>
        <w:tc>
          <w:tcPr>
            <w:tcW w:w="842" w:type="dxa"/>
            <w:noWrap/>
            <w:vAlign w:val="bottom"/>
            <w:hideMark/>
          </w:tcPr>
          <w:p w14:paraId="1DA99AC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13</w:t>
            </w:r>
          </w:p>
        </w:tc>
      </w:tr>
      <w:tr w:rsidR="00867954" w:rsidRPr="00D15091" w14:paraId="4801DF06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549ACF1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89" w:type="dxa"/>
            <w:noWrap/>
            <w:vAlign w:val="bottom"/>
            <w:hideMark/>
          </w:tcPr>
          <w:p w14:paraId="52079F3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0972DB9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173%</w:t>
            </w:r>
          </w:p>
        </w:tc>
        <w:tc>
          <w:tcPr>
            <w:tcW w:w="2350" w:type="dxa"/>
            <w:noWrap/>
            <w:vAlign w:val="bottom"/>
            <w:hideMark/>
          </w:tcPr>
          <w:p w14:paraId="165FF47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ТОМСКАЯ ТОПЛИВНАЯ КОМПАНИЯ,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7A318E2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Томская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5A277F1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 xml:space="preserve">Торговля оптовая твердым, жидким и газообразным топливом </w:t>
            </w: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lastRenderedPageBreak/>
              <w:t>и подобными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3843077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lastRenderedPageBreak/>
              <w:t>117 342</w:t>
            </w:r>
          </w:p>
        </w:tc>
        <w:tc>
          <w:tcPr>
            <w:tcW w:w="849" w:type="dxa"/>
            <w:noWrap/>
            <w:vAlign w:val="bottom"/>
            <w:hideMark/>
          </w:tcPr>
          <w:p w14:paraId="7E8355D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0,6%</w:t>
            </w:r>
          </w:p>
        </w:tc>
        <w:tc>
          <w:tcPr>
            <w:tcW w:w="842" w:type="dxa"/>
            <w:noWrap/>
            <w:vAlign w:val="bottom"/>
            <w:hideMark/>
          </w:tcPr>
          <w:p w14:paraId="0F804C7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28</w:t>
            </w:r>
          </w:p>
        </w:tc>
      </w:tr>
      <w:tr w:rsidR="00867954" w:rsidRPr="00D15091" w14:paraId="37972091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AD5BDB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89" w:type="dxa"/>
            <w:noWrap/>
            <w:vAlign w:val="bottom"/>
            <w:hideMark/>
          </w:tcPr>
          <w:p w14:paraId="44DB51A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2CD8FE9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154%</w:t>
            </w:r>
          </w:p>
        </w:tc>
        <w:tc>
          <w:tcPr>
            <w:tcW w:w="2350" w:type="dxa"/>
            <w:noWrap/>
            <w:vAlign w:val="bottom"/>
            <w:hideMark/>
          </w:tcPr>
          <w:p w14:paraId="1BAAB44E" w14:textId="77777777" w:rsidR="00867954" w:rsidRPr="00867954" w:rsidRDefault="000A3A29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0A3A29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НЕФТЕТРЕЙД-БУНКЕР</w:t>
            </w:r>
            <w:r w:rsidR="00867954"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7ED3CD9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1E829E4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твердым, жидким и газообразным топливом и подобными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13FED8D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12 537</w:t>
            </w:r>
          </w:p>
        </w:tc>
        <w:tc>
          <w:tcPr>
            <w:tcW w:w="849" w:type="dxa"/>
            <w:noWrap/>
            <w:vAlign w:val="bottom"/>
            <w:hideMark/>
          </w:tcPr>
          <w:p w14:paraId="32D1A22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1,4%</w:t>
            </w:r>
          </w:p>
        </w:tc>
        <w:tc>
          <w:tcPr>
            <w:tcW w:w="842" w:type="dxa"/>
            <w:noWrap/>
            <w:vAlign w:val="bottom"/>
            <w:hideMark/>
          </w:tcPr>
          <w:p w14:paraId="2F4650D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15</w:t>
            </w:r>
          </w:p>
        </w:tc>
      </w:tr>
      <w:tr w:rsidR="00867954" w:rsidRPr="00D15091" w14:paraId="39F6A513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3BC92ED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9" w:type="dxa"/>
            <w:noWrap/>
            <w:vAlign w:val="bottom"/>
            <w:hideMark/>
          </w:tcPr>
          <w:p w14:paraId="3016077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5828CCD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136%</w:t>
            </w:r>
          </w:p>
        </w:tc>
        <w:tc>
          <w:tcPr>
            <w:tcW w:w="2350" w:type="dxa"/>
            <w:noWrap/>
            <w:vAlign w:val="bottom"/>
            <w:hideMark/>
          </w:tcPr>
          <w:p w14:paraId="304692C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ВЫБОР,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1E795A6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308EA65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Строительство жилых и нежилых зданий</w:t>
            </w:r>
          </w:p>
        </w:tc>
        <w:tc>
          <w:tcPr>
            <w:tcW w:w="990" w:type="dxa"/>
            <w:noWrap/>
            <w:vAlign w:val="bottom"/>
            <w:hideMark/>
          </w:tcPr>
          <w:p w14:paraId="6B8F5D6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6 499</w:t>
            </w:r>
          </w:p>
        </w:tc>
        <w:tc>
          <w:tcPr>
            <w:tcW w:w="849" w:type="dxa"/>
            <w:noWrap/>
            <w:vAlign w:val="bottom"/>
            <w:hideMark/>
          </w:tcPr>
          <w:p w14:paraId="75FEE21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0,0%</w:t>
            </w:r>
          </w:p>
        </w:tc>
        <w:tc>
          <w:tcPr>
            <w:tcW w:w="842" w:type="dxa"/>
            <w:noWrap/>
            <w:vAlign w:val="bottom"/>
            <w:hideMark/>
          </w:tcPr>
          <w:p w14:paraId="4E33F2C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28</w:t>
            </w:r>
          </w:p>
        </w:tc>
      </w:tr>
      <w:tr w:rsidR="00867954" w:rsidRPr="00D15091" w14:paraId="67595AFD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4627946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89" w:type="dxa"/>
            <w:noWrap/>
            <w:vAlign w:val="bottom"/>
            <w:hideMark/>
          </w:tcPr>
          <w:p w14:paraId="77743C3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136977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121%</w:t>
            </w:r>
          </w:p>
        </w:tc>
        <w:tc>
          <w:tcPr>
            <w:tcW w:w="2350" w:type="dxa"/>
            <w:noWrap/>
            <w:vAlign w:val="bottom"/>
            <w:hideMark/>
          </w:tcPr>
          <w:p w14:paraId="665DA4B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ФУД.КОМ,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3185F82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Орловская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7B8E801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мясом и мясными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24D4862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5 123</w:t>
            </w:r>
          </w:p>
        </w:tc>
        <w:tc>
          <w:tcPr>
            <w:tcW w:w="849" w:type="dxa"/>
            <w:noWrap/>
            <w:vAlign w:val="bottom"/>
            <w:hideMark/>
          </w:tcPr>
          <w:p w14:paraId="082AC4C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0,9%</w:t>
            </w:r>
          </w:p>
        </w:tc>
        <w:tc>
          <w:tcPr>
            <w:tcW w:w="842" w:type="dxa"/>
            <w:noWrap/>
            <w:vAlign w:val="bottom"/>
            <w:hideMark/>
          </w:tcPr>
          <w:p w14:paraId="6BCB0A5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40</w:t>
            </w:r>
          </w:p>
        </w:tc>
      </w:tr>
      <w:tr w:rsidR="00867954" w:rsidRPr="00D15091" w14:paraId="131EA0A4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A04879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89" w:type="dxa"/>
            <w:noWrap/>
            <w:vAlign w:val="bottom"/>
            <w:hideMark/>
          </w:tcPr>
          <w:p w14:paraId="4AD239A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7DFA329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119%</w:t>
            </w:r>
          </w:p>
        </w:tc>
        <w:tc>
          <w:tcPr>
            <w:tcW w:w="2350" w:type="dxa"/>
            <w:noWrap/>
            <w:vAlign w:val="bottom"/>
            <w:hideMark/>
          </w:tcPr>
          <w:p w14:paraId="0274189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МОНОТЕК СТРОЙ,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3AE0EA6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618DEB3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Строительство жилых и нежилых зданий</w:t>
            </w:r>
          </w:p>
        </w:tc>
        <w:tc>
          <w:tcPr>
            <w:tcW w:w="990" w:type="dxa"/>
            <w:noWrap/>
            <w:vAlign w:val="bottom"/>
            <w:hideMark/>
          </w:tcPr>
          <w:p w14:paraId="1C86178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16 460</w:t>
            </w:r>
          </w:p>
        </w:tc>
        <w:tc>
          <w:tcPr>
            <w:tcW w:w="849" w:type="dxa"/>
            <w:noWrap/>
            <w:vAlign w:val="bottom"/>
            <w:hideMark/>
          </w:tcPr>
          <w:p w14:paraId="5F41F28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12,1%</w:t>
            </w:r>
          </w:p>
        </w:tc>
        <w:tc>
          <w:tcPr>
            <w:tcW w:w="842" w:type="dxa"/>
            <w:noWrap/>
            <w:vAlign w:val="bottom"/>
            <w:hideMark/>
          </w:tcPr>
          <w:p w14:paraId="0003213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17</w:t>
            </w:r>
          </w:p>
        </w:tc>
      </w:tr>
      <w:tr w:rsidR="00867954" w:rsidRPr="00D15091" w14:paraId="4392FE90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19055CA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89" w:type="dxa"/>
            <w:noWrap/>
            <w:vAlign w:val="bottom"/>
            <w:hideMark/>
          </w:tcPr>
          <w:p w14:paraId="7DBFD58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370A63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119%</w:t>
            </w:r>
          </w:p>
        </w:tc>
        <w:tc>
          <w:tcPr>
            <w:tcW w:w="2350" w:type="dxa"/>
            <w:noWrap/>
            <w:vAlign w:val="bottom"/>
            <w:hideMark/>
          </w:tcPr>
          <w:p w14:paraId="53A4F3A1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СПЕЦИАЛИЗИРОВАННЫЙ ЗАСТРОЙЩИК МЕТРОМАШ, АО</w:t>
            </w:r>
          </w:p>
        </w:tc>
        <w:tc>
          <w:tcPr>
            <w:tcW w:w="1426" w:type="dxa"/>
            <w:noWrap/>
            <w:vAlign w:val="bottom"/>
            <w:hideMark/>
          </w:tcPr>
          <w:p w14:paraId="7A23400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355D276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заказчика-застройщика, генерального подрядчика</w:t>
            </w:r>
          </w:p>
        </w:tc>
        <w:tc>
          <w:tcPr>
            <w:tcW w:w="990" w:type="dxa"/>
            <w:noWrap/>
            <w:vAlign w:val="bottom"/>
            <w:hideMark/>
          </w:tcPr>
          <w:p w14:paraId="51BCD3C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7 012</w:t>
            </w:r>
          </w:p>
        </w:tc>
        <w:tc>
          <w:tcPr>
            <w:tcW w:w="849" w:type="dxa"/>
            <w:noWrap/>
            <w:vAlign w:val="bottom"/>
            <w:hideMark/>
          </w:tcPr>
          <w:p w14:paraId="5414AEA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67,5%</w:t>
            </w:r>
          </w:p>
        </w:tc>
        <w:tc>
          <w:tcPr>
            <w:tcW w:w="842" w:type="dxa"/>
            <w:noWrap/>
            <w:vAlign w:val="bottom"/>
            <w:hideMark/>
          </w:tcPr>
          <w:p w14:paraId="387D8CE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28FCC530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93CBE3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9" w:type="dxa"/>
            <w:noWrap/>
            <w:vAlign w:val="bottom"/>
            <w:hideMark/>
          </w:tcPr>
          <w:p w14:paraId="2A593C8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3C7337D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113%</w:t>
            </w:r>
          </w:p>
        </w:tc>
        <w:tc>
          <w:tcPr>
            <w:tcW w:w="2350" w:type="dxa"/>
            <w:noWrap/>
            <w:vAlign w:val="bottom"/>
            <w:hideMark/>
          </w:tcPr>
          <w:p w14:paraId="2B323389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МЕРКУРИЙ, АО</w:t>
            </w:r>
          </w:p>
        </w:tc>
        <w:tc>
          <w:tcPr>
            <w:tcW w:w="1426" w:type="dxa"/>
            <w:noWrap/>
            <w:vAlign w:val="bottom"/>
            <w:hideMark/>
          </w:tcPr>
          <w:p w14:paraId="3FEFCEF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Алтайский край</w:t>
            </w:r>
          </w:p>
        </w:tc>
        <w:tc>
          <w:tcPr>
            <w:tcW w:w="1936" w:type="dxa"/>
            <w:noWrap/>
            <w:vAlign w:val="bottom"/>
            <w:hideMark/>
          </w:tcPr>
          <w:p w14:paraId="6DE4669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зерном</w:t>
            </w:r>
          </w:p>
        </w:tc>
        <w:tc>
          <w:tcPr>
            <w:tcW w:w="990" w:type="dxa"/>
            <w:noWrap/>
            <w:vAlign w:val="bottom"/>
            <w:hideMark/>
          </w:tcPr>
          <w:p w14:paraId="6E3FE4C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10 798</w:t>
            </w:r>
          </w:p>
        </w:tc>
        <w:tc>
          <w:tcPr>
            <w:tcW w:w="849" w:type="dxa"/>
            <w:noWrap/>
            <w:vAlign w:val="bottom"/>
            <w:hideMark/>
          </w:tcPr>
          <w:p w14:paraId="2437816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1,5%</w:t>
            </w:r>
          </w:p>
        </w:tc>
        <w:tc>
          <w:tcPr>
            <w:tcW w:w="842" w:type="dxa"/>
            <w:noWrap/>
            <w:vAlign w:val="bottom"/>
            <w:hideMark/>
          </w:tcPr>
          <w:p w14:paraId="006B21C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13</w:t>
            </w:r>
          </w:p>
        </w:tc>
      </w:tr>
      <w:tr w:rsidR="00867954" w:rsidRPr="00D15091" w14:paraId="220EC156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42584C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89" w:type="dxa"/>
            <w:noWrap/>
            <w:vAlign w:val="bottom"/>
            <w:hideMark/>
          </w:tcPr>
          <w:p w14:paraId="2E62959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1711061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110%</w:t>
            </w:r>
          </w:p>
        </w:tc>
        <w:tc>
          <w:tcPr>
            <w:tcW w:w="2350" w:type="dxa"/>
            <w:noWrap/>
            <w:vAlign w:val="bottom"/>
            <w:hideMark/>
          </w:tcPr>
          <w:p w14:paraId="0323DF8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МЕТАЛЛЭКСПОРТ,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124362E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Саратовская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3E36D94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отходами и ломом</w:t>
            </w:r>
          </w:p>
        </w:tc>
        <w:tc>
          <w:tcPr>
            <w:tcW w:w="990" w:type="dxa"/>
            <w:noWrap/>
            <w:vAlign w:val="bottom"/>
            <w:hideMark/>
          </w:tcPr>
          <w:p w14:paraId="59397FD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6 305</w:t>
            </w:r>
          </w:p>
        </w:tc>
        <w:tc>
          <w:tcPr>
            <w:tcW w:w="849" w:type="dxa"/>
            <w:noWrap/>
            <w:vAlign w:val="bottom"/>
            <w:hideMark/>
          </w:tcPr>
          <w:p w14:paraId="0DE97E5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1,9%</w:t>
            </w:r>
          </w:p>
        </w:tc>
        <w:tc>
          <w:tcPr>
            <w:tcW w:w="842" w:type="dxa"/>
            <w:noWrap/>
            <w:vAlign w:val="bottom"/>
            <w:hideMark/>
          </w:tcPr>
          <w:p w14:paraId="51A0D4C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2122E7C8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2B1BD63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9" w:type="dxa"/>
            <w:noWrap/>
            <w:vAlign w:val="bottom"/>
            <w:hideMark/>
          </w:tcPr>
          <w:p w14:paraId="65F4B00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7711C60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108%</w:t>
            </w:r>
          </w:p>
        </w:tc>
        <w:tc>
          <w:tcPr>
            <w:tcW w:w="2350" w:type="dxa"/>
            <w:noWrap/>
            <w:vAlign w:val="bottom"/>
            <w:hideMark/>
          </w:tcPr>
          <w:p w14:paraId="7FE79B76" w14:textId="77777777" w:rsidR="00867954" w:rsidRPr="00867954" w:rsidRDefault="000A3A29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0A3A29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ВОРОНЕЖВТОРСЫРЬЕ</w:t>
            </w:r>
            <w:r w:rsidR="00867954"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73440DA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Воронежская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14CCAF6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отходами и ломом</w:t>
            </w:r>
          </w:p>
        </w:tc>
        <w:tc>
          <w:tcPr>
            <w:tcW w:w="990" w:type="dxa"/>
            <w:noWrap/>
            <w:vAlign w:val="bottom"/>
            <w:hideMark/>
          </w:tcPr>
          <w:p w14:paraId="0B713C3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3 601</w:t>
            </w:r>
          </w:p>
        </w:tc>
        <w:tc>
          <w:tcPr>
            <w:tcW w:w="849" w:type="dxa"/>
            <w:noWrap/>
            <w:vAlign w:val="bottom"/>
            <w:hideMark/>
          </w:tcPr>
          <w:p w14:paraId="121FB5E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3,4%</w:t>
            </w:r>
          </w:p>
        </w:tc>
        <w:tc>
          <w:tcPr>
            <w:tcW w:w="842" w:type="dxa"/>
            <w:noWrap/>
            <w:vAlign w:val="bottom"/>
            <w:hideMark/>
          </w:tcPr>
          <w:p w14:paraId="6591B03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</w:t>
            </w:r>
          </w:p>
        </w:tc>
      </w:tr>
      <w:tr w:rsidR="00867954" w:rsidRPr="00D15091" w14:paraId="22E28794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5322B26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89" w:type="dxa"/>
            <w:noWrap/>
            <w:vAlign w:val="bottom"/>
            <w:hideMark/>
          </w:tcPr>
          <w:p w14:paraId="752315F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1" w:type="dxa"/>
            <w:noWrap/>
            <w:vAlign w:val="bottom"/>
            <w:hideMark/>
          </w:tcPr>
          <w:p w14:paraId="5E0DE0C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104%</w:t>
            </w:r>
          </w:p>
        </w:tc>
        <w:tc>
          <w:tcPr>
            <w:tcW w:w="2350" w:type="dxa"/>
            <w:noWrap/>
            <w:vAlign w:val="bottom"/>
            <w:hideMark/>
          </w:tcPr>
          <w:p w14:paraId="5574C92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ТРЕЙД ОНЛАЙН,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7C5579A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7628635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компьютерами, периферийными устройствами к компьютерам и программным обеспечением</w:t>
            </w:r>
          </w:p>
        </w:tc>
        <w:tc>
          <w:tcPr>
            <w:tcW w:w="990" w:type="dxa"/>
            <w:noWrap/>
            <w:vAlign w:val="bottom"/>
            <w:hideMark/>
          </w:tcPr>
          <w:p w14:paraId="0676F31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5 281</w:t>
            </w:r>
          </w:p>
        </w:tc>
        <w:tc>
          <w:tcPr>
            <w:tcW w:w="849" w:type="dxa"/>
            <w:noWrap/>
            <w:vAlign w:val="bottom"/>
            <w:hideMark/>
          </w:tcPr>
          <w:p w14:paraId="1C57A88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5,6%</w:t>
            </w:r>
          </w:p>
        </w:tc>
        <w:tc>
          <w:tcPr>
            <w:tcW w:w="842" w:type="dxa"/>
            <w:noWrap/>
            <w:vAlign w:val="bottom"/>
            <w:hideMark/>
          </w:tcPr>
          <w:p w14:paraId="69E8CBE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</w:t>
            </w:r>
          </w:p>
        </w:tc>
      </w:tr>
      <w:tr w:rsidR="00867954" w:rsidRPr="00D15091" w14:paraId="7D35865A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777F08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89" w:type="dxa"/>
            <w:noWrap/>
            <w:vAlign w:val="bottom"/>
            <w:hideMark/>
          </w:tcPr>
          <w:p w14:paraId="7F52B0D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2256635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102%</w:t>
            </w:r>
          </w:p>
        </w:tc>
        <w:tc>
          <w:tcPr>
            <w:tcW w:w="2350" w:type="dxa"/>
            <w:noWrap/>
            <w:vAlign w:val="bottom"/>
            <w:hideMark/>
          </w:tcPr>
          <w:p w14:paraId="672D248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СТРОЙКРАФТ,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49DED31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Санкт-Петербург</w:t>
            </w:r>
          </w:p>
        </w:tc>
        <w:tc>
          <w:tcPr>
            <w:tcW w:w="1936" w:type="dxa"/>
            <w:noWrap/>
            <w:vAlign w:val="bottom"/>
            <w:hideMark/>
          </w:tcPr>
          <w:p w14:paraId="0454EBD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Строительство жилых и нежилых зданий</w:t>
            </w:r>
          </w:p>
        </w:tc>
        <w:tc>
          <w:tcPr>
            <w:tcW w:w="990" w:type="dxa"/>
            <w:noWrap/>
            <w:vAlign w:val="bottom"/>
            <w:hideMark/>
          </w:tcPr>
          <w:p w14:paraId="48E8E38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5 053</w:t>
            </w:r>
          </w:p>
        </w:tc>
        <w:tc>
          <w:tcPr>
            <w:tcW w:w="849" w:type="dxa"/>
            <w:noWrap/>
            <w:vAlign w:val="bottom"/>
            <w:hideMark/>
          </w:tcPr>
          <w:p w14:paraId="296CDFD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2,3%</w:t>
            </w:r>
          </w:p>
        </w:tc>
        <w:tc>
          <w:tcPr>
            <w:tcW w:w="842" w:type="dxa"/>
            <w:noWrap/>
            <w:vAlign w:val="bottom"/>
            <w:hideMark/>
          </w:tcPr>
          <w:p w14:paraId="50D457B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</w:t>
            </w:r>
          </w:p>
        </w:tc>
      </w:tr>
      <w:tr w:rsidR="00867954" w:rsidRPr="00D15091" w14:paraId="6119C637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970357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89" w:type="dxa"/>
            <w:noWrap/>
            <w:vAlign w:val="bottom"/>
            <w:hideMark/>
          </w:tcPr>
          <w:p w14:paraId="30BFD8F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71" w:type="dxa"/>
            <w:noWrap/>
            <w:vAlign w:val="bottom"/>
            <w:hideMark/>
          </w:tcPr>
          <w:p w14:paraId="4AF45C0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99%</w:t>
            </w:r>
          </w:p>
        </w:tc>
        <w:tc>
          <w:tcPr>
            <w:tcW w:w="2350" w:type="dxa"/>
            <w:noWrap/>
            <w:vAlign w:val="bottom"/>
            <w:hideMark/>
          </w:tcPr>
          <w:p w14:paraId="1B7BEEA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ТЕХНОЛОГИИ ПРОМЫШЛЕННОГО СЕРВИСА,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7C807D7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685B6DB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твердым, жидким и газообразным топливом и подобными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168DEE9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14 103</w:t>
            </w:r>
          </w:p>
        </w:tc>
        <w:tc>
          <w:tcPr>
            <w:tcW w:w="849" w:type="dxa"/>
            <w:noWrap/>
            <w:vAlign w:val="bottom"/>
            <w:hideMark/>
          </w:tcPr>
          <w:p w14:paraId="5E05CA4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5,8%</w:t>
            </w:r>
          </w:p>
        </w:tc>
        <w:tc>
          <w:tcPr>
            <w:tcW w:w="842" w:type="dxa"/>
            <w:noWrap/>
            <w:vAlign w:val="bottom"/>
            <w:hideMark/>
          </w:tcPr>
          <w:p w14:paraId="1F2ECA7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14</w:t>
            </w:r>
          </w:p>
        </w:tc>
      </w:tr>
      <w:tr w:rsidR="00867954" w:rsidRPr="00D15091" w14:paraId="75D80C15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34D6126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89" w:type="dxa"/>
            <w:noWrap/>
            <w:vAlign w:val="bottom"/>
            <w:hideMark/>
          </w:tcPr>
          <w:p w14:paraId="138D053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240EA66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99%</w:t>
            </w:r>
          </w:p>
        </w:tc>
        <w:tc>
          <w:tcPr>
            <w:tcW w:w="2350" w:type="dxa"/>
            <w:noWrap/>
            <w:vAlign w:val="bottom"/>
            <w:hideMark/>
          </w:tcPr>
          <w:p w14:paraId="61120AC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МДА-ГРУПП,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0C33E32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Башкортостан (Республика)</w:t>
            </w:r>
          </w:p>
        </w:tc>
        <w:tc>
          <w:tcPr>
            <w:tcW w:w="1936" w:type="dxa"/>
            <w:noWrap/>
            <w:vAlign w:val="bottom"/>
            <w:hideMark/>
          </w:tcPr>
          <w:p w14:paraId="3D9D78B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твердым, жидким и газообразным топливом и подобными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5D2C53B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5 340</w:t>
            </w:r>
          </w:p>
        </w:tc>
        <w:tc>
          <w:tcPr>
            <w:tcW w:w="849" w:type="dxa"/>
            <w:noWrap/>
            <w:vAlign w:val="bottom"/>
            <w:hideMark/>
          </w:tcPr>
          <w:p w14:paraId="0893F0B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0,6%</w:t>
            </w:r>
          </w:p>
        </w:tc>
        <w:tc>
          <w:tcPr>
            <w:tcW w:w="842" w:type="dxa"/>
            <w:noWrap/>
            <w:vAlign w:val="bottom"/>
            <w:hideMark/>
          </w:tcPr>
          <w:p w14:paraId="2E866B8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</w:t>
            </w:r>
          </w:p>
        </w:tc>
      </w:tr>
      <w:tr w:rsidR="00867954" w:rsidRPr="00D15091" w14:paraId="6AB458A4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C546CF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9" w:type="dxa"/>
            <w:noWrap/>
            <w:vAlign w:val="bottom"/>
            <w:hideMark/>
          </w:tcPr>
          <w:p w14:paraId="4DE67E1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1E7FA07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98%</w:t>
            </w:r>
          </w:p>
        </w:tc>
        <w:tc>
          <w:tcPr>
            <w:tcW w:w="2350" w:type="dxa"/>
            <w:noWrap/>
            <w:vAlign w:val="bottom"/>
            <w:hideMark/>
          </w:tcPr>
          <w:p w14:paraId="213B5E2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АМИНОСИБ, АО</w:t>
            </w:r>
          </w:p>
        </w:tc>
        <w:tc>
          <w:tcPr>
            <w:tcW w:w="1426" w:type="dxa"/>
            <w:noWrap/>
            <w:vAlign w:val="bottom"/>
            <w:hideMark/>
          </w:tcPr>
          <w:p w14:paraId="7D97DA1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Тюменская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459712C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Производство крахмала и крахмалосодержащих продуктов</w:t>
            </w:r>
          </w:p>
        </w:tc>
        <w:tc>
          <w:tcPr>
            <w:tcW w:w="990" w:type="dxa"/>
            <w:noWrap/>
            <w:vAlign w:val="bottom"/>
            <w:hideMark/>
          </w:tcPr>
          <w:p w14:paraId="4FB8358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4 788</w:t>
            </w:r>
          </w:p>
        </w:tc>
        <w:tc>
          <w:tcPr>
            <w:tcW w:w="849" w:type="dxa"/>
            <w:noWrap/>
            <w:vAlign w:val="bottom"/>
            <w:hideMark/>
          </w:tcPr>
          <w:p w14:paraId="68EA890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19,3%</w:t>
            </w:r>
          </w:p>
        </w:tc>
        <w:tc>
          <w:tcPr>
            <w:tcW w:w="842" w:type="dxa"/>
            <w:noWrap/>
            <w:vAlign w:val="bottom"/>
            <w:hideMark/>
          </w:tcPr>
          <w:p w14:paraId="0898D87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</w:t>
            </w:r>
          </w:p>
        </w:tc>
      </w:tr>
      <w:tr w:rsidR="00867954" w:rsidRPr="00D15091" w14:paraId="481F8B60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23B9738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9" w:type="dxa"/>
            <w:noWrap/>
            <w:vAlign w:val="bottom"/>
            <w:hideMark/>
          </w:tcPr>
          <w:p w14:paraId="1C90F33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1" w:type="dxa"/>
            <w:noWrap/>
            <w:vAlign w:val="bottom"/>
            <w:hideMark/>
          </w:tcPr>
          <w:p w14:paraId="7FCFF05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97%</w:t>
            </w:r>
          </w:p>
        </w:tc>
        <w:tc>
          <w:tcPr>
            <w:tcW w:w="2350" w:type="dxa"/>
            <w:noWrap/>
            <w:vAlign w:val="bottom"/>
            <w:hideMark/>
          </w:tcPr>
          <w:p w14:paraId="6743B4C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ЕВРО-УПАКОВКА,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2B7C516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5B4C8F79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990" w:type="dxa"/>
            <w:noWrap/>
            <w:vAlign w:val="bottom"/>
            <w:hideMark/>
          </w:tcPr>
          <w:p w14:paraId="2328FCB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10 264</w:t>
            </w:r>
          </w:p>
        </w:tc>
        <w:tc>
          <w:tcPr>
            <w:tcW w:w="849" w:type="dxa"/>
            <w:noWrap/>
            <w:vAlign w:val="bottom"/>
            <w:hideMark/>
          </w:tcPr>
          <w:p w14:paraId="767481B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1,0%</w:t>
            </w:r>
          </w:p>
        </w:tc>
        <w:tc>
          <w:tcPr>
            <w:tcW w:w="842" w:type="dxa"/>
            <w:noWrap/>
            <w:vAlign w:val="bottom"/>
            <w:hideMark/>
          </w:tcPr>
          <w:p w14:paraId="6EA196B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17</w:t>
            </w:r>
          </w:p>
        </w:tc>
      </w:tr>
      <w:tr w:rsidR="00867954" w:rsidRPr="00D15091" w14:paraId="15C3BE60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D32B1D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589" w:type="dxa"/>
            <w:noWrap/>
            <w:vAlign w:val="bottom"/>
            <w:hideMark/>
          </w:tcPr>
          <w:p w14:paraId="1CDCBE3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5B7A712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97%</w:t>
            </w:r>
          </w:p>
        </w:tc>
        <w:tc>
          <w:tcPr>
            <w:tcW w:w="2350" w:type="dxa"/>
            <w:noWrap/>
            <w:vAlign w:val="bottom"/>
            <w:hideMark/>
          </w:tcPr>
          <w:p w14:paraId="0353432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АЙ ПИ ГРУПП,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2C43F72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466E422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Строительство жилых и нежилых зданий</w:t>
            </w:r>
          </w:p>
        </w:tc>
        <w:tc>
          <w:tcPr>
            <w:tcW w:w="990" w:type="dxa"/>
            <w:noWrap/>
            <w:vAlign w:val="bottom"/>
            <w:hideMark/>
          </w:tcPr>
          <w:p w14:paraId="0EEDBE7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2 474</w:t>
            </w:r>
          </w:p>
        </w:tc>
        <w:tc>
          <w:tcPr>
            <w:tcW w:w="849" w:type="dxa"/>
            <w:noWrap/>
            <w:vAlign w:val="bottom"/>
            <w:hideMark/>
          </w:tcPr>
          <w:p w14:paraId="51B0E0A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0,3%</w:t>
            </w:r>
          </w:p>
        </w:tc>
        <w:tc>
          <w:tcPr>
            <w:tcW w:w="842" w:type="dxa"/>
            <w:noWrap/>
            <w:vAlign w:val="bottom"/>
            <w:hideMark/>
          </w:tcPr>
          <w:p w14:paraId="09A839F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499F4B62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116B2AF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noWrap/>
            <w:vAlign w:val="bottom"/>
            <w:hideMark/>
          </w:tcPr>
          <w:p w14:paraId="575C012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7FA4EA3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96%</w:t>
            </w:r>
          </w:p>
        </w:tc>
        <w:tc>
          <w:tcPr>
            <w:tcW w:w="2350" w:type="dxa"/>
            <w:noWrap/>
            <w:vAlign w:val="bottom"/>
            <w:hideMark/>
          </w:tcPr>
          <w:p w14:paraId="74BA30E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АГРОДОН, ООО ТД</w:t>
            </w:r>
          </w:p>
        </w:tc>
        <w:tc>
          <w:tcPr>
            <w:tcW w:w="1426" w:type="dxa"/>
            <w:noWrap/>
            <w:vAlign w:val="bottom"/>
            <w:hideMark/>
          </w:tcPr>
          <w:p w14:paraId="25F2B73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Волгоградская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6B6B230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пищевыми маслами и жирами</w:t>
            </w:r>
          </w:p>
        </w:tc>
        <w:tc>
          <w:tcPr>
            <w:tcW w:w="990" w:type="dxa"/>
            <w:noWrap/>
            <w:vAlign w:val="bottom"/>
            <w:hideMark/>
          </w:tcPr>
          <w:p w14:paraId="082B94E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2 427</w:t>
            </w:r>
          </w:p>
        </w:tc>
        <w:tc>
          <w:tcPr>
            <w:tcW w:w="849" w:type="dxa"/>
            <w:noWrap/>
            <w:vAlign w:val="bottom"/>
            <w:hideMark/>
          </w:tcPr>
          <w:p w14:paraId="0AFCB90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2,4%</w:t>
            </w:r>
          </w:p>
        </w:tc>
        <w:tc>
          <w:tcPr>
            <w:tcW w:w="842" w:type="dxa"/>
            <w:noWrap/>
            <w:vAlign w:val="bottom"/>
            <w:hideMark/>
          </w:tcPr>
          <w:p w14:paraId="1C537AE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</w:t>
            </w:r>
          </w:p>
        </w:tc>
      </w:tr>
      <w:tr w:rsidR="00867954" w:rsidRPr="00D15091" w14:paraId="2D5155FF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F1BC96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9" w:type="dxa"/>
            <w:noWrap/>
            <w:vAlign w:val="bottom"/>
            <w:hideMark/>
          </w:tcPr>
          <w:p w14:paraId="680AC70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0082BB4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94%</w:t>
            </w:r>
          </w:p>
        </w:tc>
        <w:tc>
          <w:tcPr>
            <w:tcW w:w="2350" w:type="dxa"/>
            <w:noWrap/>
            <w:vAlign w:val="bottom"/>
            <w:hideMark/>
          </w:tcPr>
          <w:p w14:paraId="32566051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АРНИ,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36B9C3A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0F93431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организаций санитарно-эпидемиологической службы</w:t>
            </w:r>
          </w:p>
        </w:tc>
        <w:tc>
          <w:tcPr>
            <w:tcW w:w="990" w:type="dxa"/>
            <w:noWrap/>
            <w:vAlign w:val="bottom"/>
            <w:hideMark/>
          </w:tcPr>
          <w:p w14:paraId="1F8240C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2 243</w:t>
            </w:r>
          </w:p>
        </w:tc>
        <w:tc>
          <w:tcPr>
            <w:tcW w:w="849" w:type="dxa"/>
            <w:noWrap/>
            <w:vAlign w:val="bottom"/>
            <w:hideMark/>
          </w:tcPr>
          <w:p w14:paraId="62FB96D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16,4%</w:t>
            </w:r>
          </w:p>
        </w:tc>
        <w:tc>
          <w:tcPr>
            <w:tcW w:w="842" w:type="dxa"/>
            <w:noWrap/>
            <w:vAlign w:val="bottom"/>
            <w:hideMark/>
          </w:tcPr>
          <w:p w14:paraId="68D7793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6EBD9772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245CE18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89" w:type="dxa"/>
            <w:noWrap/>
            <w:vAlign w:val="bottom"/>
            <w:hideMark/>
          </w:tcPr>
          <w:p w14:paraId="1A44628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C851CF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93%</w:t>
            </w:r>
          </w:p>
        </w:tc>
        <w:tc>
          <w:tcPr>
            <w:tcW w:w="2350" w:type="dxa"/>
            <w:noWrap/>
            <w:vAlign w:val="bottom"/>
            <w:hideMark/>
          </w:tcPr>
          <w:p w14:paraId="29B487C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МАКАРУН,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0DCA57B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26936FE1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компьютерами, периферийными устройствами к компьютерам и программным обеспечением</w:t>
            </w:r>
          </w:p>
        </w:tc>
        <w:tc>
          <w:tcPr>
            <w:tcW w:w="990" w:type="dxa"/>
            <w:noWrap/>
            <w:vAlign w:val="bottom"/>
            <w:hideMark/>
          </w:tcPr>
          <w:p w14:paraId="0137DC4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4 142</w:t>
            </w:r>
          </w:p>
        </w:tc>
        <w:tc>
          <w:tcPr>
            <w:tcW w:w="849" w:type="dxa"/>
            <w:noWrap/>
            <w:vAlign w:val="bottom"/>
            <w:hideMark/>
          </w:tcPr>
          <w:p w14:paraId="5709C1C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0,2%</w:t>
            </w:r>
          </w:p>
        </w:tc>
        <w:tc>
          <w:tcPr>
            <w:tcW w:w="842" w:type="dxa"/>
            <w:noWrap/>
            <w:vAlign w:val="bottom"/>
            <w:hideMark/>
          </w:tcPr>
          <w:p w14:paraId="2C5C5F3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</w:t>
            </w:r>
          </w:p>
        </w:tc>
      </w:tr>
      <w:tr w:rsidR="00867954" w:rsidRPr="00D15091" w14:paraId="0FEE117A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A67E1C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89" w:type="dxa"/>
            <w:noWrap/>
            <w:vAlign w:val="bottom"/>
            <w:hideMark/>
          </w:tcPr>
          <w:p w14:paraId="7E4D88C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7F84188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93%</w:t>
            </w:r>
          </w:p>
        </w:tc>
        <w:tc>
          <w:tcPr>
            <w:tcW w:w="2350" w:type="dxa"/>
            <w:noWrap/>
            <w:vAlign w:val="bottom"/>
            <w:hideMark/>
          </w:tcPr>
          <w:p w14:paraId="09ADA061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ТРИНИТИ ШИППИНГ,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64EE58A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Санкт-Петербург</w:t>
            </w:r>
          </w:p>
        </w:tc>
        <w:tc>
          <w:tcPr>
            <w:tcW w:w="1936" w:type="dxa"/>
            <w:noWrap/>
            <w:vAlign w:val="bottom"/>
            <w:hideMark/>
          </w:tcPr>
          <w:p w14:paraId="26CC712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морского грузового транспорта</w:t>
            </w:r>
          </w:p>
        </w:tc>
        <w:tc>
          <w:tcPr>
            <w:tcW w:w="990" w:type="dxa"/>
            <w:noWrap/>
            <w:vAlign w:val="bottom"/>
            <w:hideMark/>
          </w:tcPr>
          <w:p w14:paraId="0C1D1D7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2 174</w:t>
            </w:r>
          </w:p>
        </w:tc>
        <w:tc>
          <w:tcPr>
            <w:tcW w:w="849" w:type="dxa"/>
            <w:noWrap/>
            <w:vAlign w:val="bottom"/>
            <w:hideMark/>
          </w:tcPr>
          <w:p w14:paraId="5400183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25,2%</w:t>
            </w:r>
          </w:p>
        </w:tc>
        <w:tc>
          <w:tcPr>
            <w:tcW w:w="842" w:type="dxa"/>
            <w:noWrap/>
            <w:vAlign w:val="bottom"/>
            <w:hideMark/>
          </w:tcPr>
          <w:p w14:paraId="22AE332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</w:t>
            </w:r>
          </w:p>
        </w:tc>
      </w:tr>
      <w:tr w:rsidR="00867954" w:rsidRPr="00D15091" w14:paraId="3BB40567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3B213DC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9" w:type="dxa"/>
            <w:noWrap/>
            <w:vAlign w:val="bottom"/>
            <w:hideMark/>
          </w:tcPr>
          <w:p w14:paraId="054BC79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734026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91%</w:t>
            </w:r>
          </w:p>
        </w:tc>
        <w:tc>
          <w:tcPr>
            <w:tcW w:w="2350" w:type="dxa"/>
            <w:noWrap/>
            <w:vAlign w:val="bottom"/>
            <w:hideMark/>
          </w:tcPr>
          <w:p w14:paraId="314E205C" w14:textId="77777777" w:rsidR="00867954" w:rsidRPr="00867954" w:rsidRDefault="000A3A29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0A3A29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БАЛТЕХНОХИМ</w:t>
            </w:r>
            <w:r w:rsidR="00867954"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1D3C4091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2B85B7A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по складированию и хранению</w:t>
            </w:r>
          </w:p>
        </w:tc>
        <w:tc>
          <w:tcPr>
            <w:tcW w:w="990" w:type="dxa"/>
            <w:noWrap/>
            <w:vAlign w:val="bottom"/>
            <w:hideMark/>
          </w:tcPr>
          <w:p w14:paraId="43E3EF6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2 426</w:t>
            </w:r>
          </w:p>
        </w:tc>
        <w:tc>
          <w:tcPr>
            <w:tcW w:w="849" w:type="dxa"/>
            <w:noWrap/>
            <w:vAlign w:val="bottom"/>
            <w:hideMark/>
          </w:tcPr>
          <w:p w14:paraId="1A649C9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0,9%</w:t>
            </w:r>
          </w:p>
        </w:tc>
        <w:tc>
          <w:tcPr>
            <w:tcW w:w="842" w:type="dxa"/>
            <w:noWrap/>
            <w:vAlign w:val="bottom"/>
            <w:hideMark/>
          </w:tcPr>
          <w:p w14:paraId="20D8E41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22</w:t>
            </w:r>
          </w:p>
        </w:tc>
      </w:tr>
      <w:tr w:rsidR="00867954" w:rsidRPr="00D15091" w14:paraId="2D8C5A81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440043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89" w:type="dxa"/>
            <w:noWrap/>
            <w:vAlign w:val="bottom"/>
            <w:hideMark/>
          </w:tcPr>
          <w:p w14:paraId="26EF0DA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3BEC48D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89%</w:t>
            </w:r>
          </w:p>
        </w:tc>
        <w:tc>
          <w:tcPr>
            <w:tcW w:w="2350" w:type="dxa"/>
            <w:noWrap/>
            <w:vAlign w:val="bottom"/>
            <w:hideMark/>
          </w:tcPr>
          <w:p w14:paraId="72B3334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ЛОГИСТИЧЕСКАЯ КОМПАНИЯ ЦЕРТА,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5FC2F61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Санкт-Петербург</w:t>
            </w:r>
          </w:p>
        </w:tc>
        <w:tc>
          <w:tcPr>
            <w:tcW w:w="1936" w:type="dxa"/>
            <w:noWrap/>
            <w:vAlign w:val="bottom"/>
            <w:hideMark/>
          </w:tcPr>
          <w:p w14:paraId="5567E5B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вспомогательная прочая, связанная с перевозками</w:t>
            </w:r>
          </w:p>
        </w:tc>
        <w:tc>
          <w:tcPr>
            <w:tcW w:w="990" w:type="dxa"/>
            <w:noWrap/>
            <w:vAlign w:val="bottom"/>
            <w:hideMark/>
          </w:tcPr>
          <w:p w14:paraId="0DE36B2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1 998</w:t>
            </w:r>
          </w:p>
        </w:tc>
        <w:tc>
          <w:tcPr>
            <w:tcW w:w="849" w:type="dxa"/>
            <w:noWrap/>
            <w:vAlign w:val="bottom"/>
            <w:hideMark/>
          </w:tcPr>
          <w:p w14:paraId="6892855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1,4%</w:t>
            </w:r>
          </w:p>
        </w:tc>
        <w:tc>
          <w:tcPr>
            <w:tcW w:w="842" w:type="dxa"/>
            <w:noWrap/>
            <w:vAlign w:val="bottom"/>
            <w:hideMark/>
          </w:tcPr>
          <w:p w14:paraId="58115F9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082BBC65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C78C10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89" w:type="dxa"/>
            <w:noWrap/>
            <w:vAlign w:val="bottom"/>
            <w:hideMark/>
          </w:tcPr>
          <w:p w14:paraId="3F9141C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294E68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89%</w:t>
            </w:r>
          </w:p>
        </w:tc>
        <w:tc>
          <w:tcPr>
            <w:tcW w:w="2350" w:type="dxa"/>
            <w:noWrap/>
            <w:vAlign w:val="bottom"/>
            <w:hideMark/>
          </w:tcPr>
          <w:p w14:paraId="655C993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ПРЕМИУМАВТО,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2C6EBA7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Приморский край</w:t>
            </w:r>
          </w:p>
        </w:tc>
        <w:tc>
          <w:tcPr>
            <w:tcW w:w="1936" w:type="dxa"/>
            <w:noWrap/>
            <w:vAlign w:val="bottom"/>
            <w:hideMark/>
          </w:tcPr>
          <w:p w14:paraId="2EF3EE6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автотранспортными средствами</w:t>
            </w:r>
          </w:p>
        </w:tc>
        <w:tc>
          <w:tcPr>
            <w:tcW w:w="990" w:type="dxa"/>
            <w:noWrap/>
            <w:vAlign w:val="bottom"/>
            <w:hideMark/>
          </w:tcPr>
          <w:p w14:paraId="5F0E8FD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849" w:type="dxa"/>
            <w:noWrap/>
            <w:vAlign w:val="bottom"/>
            <w:hideMark/>
          </w:tcPr>
          <w:p w14:paraId="4CB1B09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9,5%</w:t>
            </w:r>
          </w:p>
        </w:tc>
        <w:tc>
          <w:tcPr>
            <w:tcW w:w="842" w:type="dxa"/>
            <w:noWrap/>
            <w:vAlign w:val="bottom"/>
            <w:hideMark/>
          </w:tcPr>
          <w:p w14:paraId="57D1014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</w:t>
            </w:r>
          </w:p>
        </w:tc>
      </w:tr>
      <w:tr w:rsidR="00867954" w:rsidRPr="00D15091" w14:paraId="61454CC9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10E724D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89" w:type="dxa"/>
            <w:noWrap/>
            <w:vAlign w:val="bottom"/>
            <w:hideMark/>
          </w:tcPr>
          <w:p w14:paraId="0E7E18A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168403B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86%</w:t>
            </w:r>
          </w:p>
        </w:tc>
        <w:tc>
          <w:tcPr>
            <w:tcW w:w="2350" w:type="dxa"/>
            <w:noWrap/>
            <w:vAlign w:val="bottom"/>
            <w:hideMark/>
          </w:tcPr>
          <w:p w14:paraId="618EC5B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СИЛК ВЭЙ,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3D44CA1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Самарская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1309937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990" w:type="dxa"/>
            <w:noWrap/>
            <w:vAlign w:val="bottom"/>
            <w:hideMark/>
          </w:tcPr>
          <w:p w14:paraId="716A540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7 526</w:t>
            </w:r>
          </w:p>
        </w:tc>
        <w:tc>
          <w:tcPr>
            <w:tcW w:w="849" w:type="dxa"/>
            <w:noWrap/>
            <w:vAlign w:val="bottom"/>
            <w:hideMark/>
          </w:tcPr>
          <w:p w14:paraId="1725912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1,5%</w:t>
            </w:r>
          </w:p>
        </w:tc>
        <w:tc>
          <w:tcPr>
            <w:tcW w:w="842" w:type="dxa"/>
            <w:noWrap/>
            <w:vAlign w:val="bottom"/>
            <w:hideMark/>
          </w:tcPr>
          <w:p w14:paraId="173EDA3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16</w:t>
            </w:r>
          </w:p>
        </w:tc>
      </w:tr>
      <w:tr w:rsidR="00867954" w:rsidRPr="00D15091" w14:paraId="50E0CA3A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3A9FA3B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9" w:type="dxa"/>
            <w:noWrap/>
            <w:vAlign w:val="bottom"/>
            <w:hideMark/>
          </w:tcPr>
          <w:p w14:paraId="1957B3F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54A0BFF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86%</w:t>
            </w:r>
          </w:p>
        </w:tc>
        <w:tc>
          <w:tcPr>
            <w:tcW w:w="2350" w:type="dxa"/>
            <w:noWrap/>
            <w:vAlign w:val="bottom"/>
            <w:hideMark/>
          </w:tcPr>
          <w:p w14:paraId="35F10C0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ИНВЕСТРЕСУРС,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7B67ED5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Красноярский край</w:t>
            </w:r>
          </w:p>
        </w:tc>
        <w:tc>
          <w:tcPr>
            <w:tcW w:w="1936" w:type="dxa"/>
            <w:noWrap/>
            <w:vAlign w:val="bottom"/>
            <w:hideMark/>
          </w:tcPr>
          <w:p w14:paraId="5D0A142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твердым, жидким и газообразным топливом и подобными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66B3F04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2 212</w:t>
            </w:r>
          </w:p>
        </w:tc>
        <w:tc>
          <w:tcPr>
            <w:tcW w:w="849" w:type="dxa"/>
            <w:noWrap/>
            <w:vAlign w:val="bottom"/>
            <w:hideMark/>
          </w:tcPr>
          <w:p w14:paraId="2017063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0,8%</w:t>
            </w:r>
          </w:p>
        </w:tc>
        <w:tc>
          <w:tcPr>
            <w:tcW w:w="842" w:type="dxa"/>
            <w:noWrap/>
            <w:vAlign w:val="bottom"/>
            <w:hideMark/>
          </w:tcPr>
          <w:p w14:paraId="2E56BEC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11</w:t>
            </w:r>
          </w:p>
        </w:tc>
      </w:tr>
      <w:tr w:rsidR="00867954" w:rsidRPr="00D15091" w14:paraId="69B28EC5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5ABB044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89" w:type="dxa"/>
            <w:noWrap/>
            <w:vAlign w:val="bottom"/>
            <w:hideMark/>
          </w:tcPr>
          <w:p w14:paraId="53A04FF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828A2B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85%</w:t>
            </w:r>
          </w:p>
        </w:tc>
        <w:tc>
          <w:tcPr>
            <w:tcW w:w="2350" w:type="dxa"/>
            <w:noWrap/>
            <w:vAlign w:val="bottom"/>
            <w:hideMark/>
          </w:tcPr>
          <w:p w14:paraId="59F6A36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ТК ТЕХНОЛОГИЯ ДВИЖЕНИЯ,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65E7F30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0E63EF8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990" w:type="dxa"/>
            <w:noWrap/>
            <w:vAlign w:val="bottom"/>
            <w:hideMark/>
          </w:tcPr>
          <w:p w14:paraId="2AE8AB3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1 997</w:t>
            </w:r>
          </w:p>
        </w:tc>
        <w:tc>
          <w:tcPr>
            <w:tcW w:w="849" w:type="dxa"/>
            <w:noWrap/>
            <w:vAlign w:val="bottom"/>
            <w:hideMark/>
          </w:tcPr>
          <w:p w14:paraId="3AFC438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5,5%</w:t>
            </w:r>
          </w:p>
        </w:tc>
        <w:tc>
          <w:tcPr>
            <w:tcW w:w="842" w:type="dxa"/>
            <w:noWrap/>
            <w:vAlign w:val="bottom"/>
            <w:hideMark/>
          </w:tcPr>
          <w:p w14:paraId="7AB76BE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34</w:t>
            </w:r>
          </w:p>
        </w:tc>
      </w:tr>
      <w:tr w:rsidR="00867954" w:rsidRPr="00D15091" w14:paraId="2FF9B56A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21C1B7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9" w:type="dxa"/>
            <w:noWrap/>
            <w:vAlign w:val="bottom"/>
            <w:hideMark/>
          </w:tcPr>
          <w:p w14:paraId="0B56A6C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164823F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85%</w:t>
            </w:r>
          </w:p>
        </w:tc>
        <w:tc>
          <w:tcPr>
            <w:tcW w:w="2350" w:type="dxa"/>
            <w:noWrap/>
            <w:vAlign w:val="bottom"/>
            <w:hideMark/>
          </w:tcPr>
          <w:p w14:paraId="689984A1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 ПАРТС,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6481FC6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69BBD5F9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автомобильными деталями, узлами и принадлежностями, кроме деятельности агентов</w:t>
            </w:r>
          </w:p>
        </w:tc>
        <w:tc>
          <w:tcPr>
            <w:tcW w:w="990" w:type="dxa"/>
            <w:noWrap/>
            <w:vAlign w:val="bottom"/>
            <w:hideMark/>
          </w:tcPr>
          <w:p w14:paraId="660CAF4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3 863</w:t>
            </w:r>
          </w:p>
        </w:tc>
        <w:tc>
          <w:tcPr>
            <w:tcW w:w="849" w:type="dxa"/>
            <w:noWrap/>
            <w:vAlign w:val="bottom"/>
            <w:hideMark/>
          </w:tcPr>
          <w:p w14:paraId="0FAC763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0,2%</w:t>
            </w:r>
          </w:p>
        </w:tc>
        <w:tc>
          <w:tcPr>
            <w:tcW w:w="842" w:type="dxa"/>
            <w:noWrap/>
            <w:vAlign w:val="bottom"/>
            <w:hideMark/>
          </w:tcPr>
          <w:p w14:paraId="663F931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17</w:t>
            </w:r>
          </w:p>
        </w:tc>
      </w:tr>
      <w:tr w:rsidR="00867954" w:rsidRPr="00D15091" w14:paraId="211D26C3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19B16CD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89" w:type="dxa"/>
            <w:noWrap/>
            <w:vAlign w:val="bottom"/>
            <w:hideMark/>
          </w:tcPr>
          <w:p w14:paraId="46AA2D7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099EACC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84%</w:t>
            </w:r>
          </w:p>
        </w:tc>
        <w:tc>
          <w:tcPr>
            <w:tcW w:w="2350" w:type="dxa"/>
            <w:noWrap/>
            <w:vAlign w:val="bottom"/>
            <w:hideMark/>
          </w:tcPr>
          <w:p w14:paraId="275849B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ЛПК62,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01115E2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Рязанская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1256DCF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Обработка отходов и лома черных металлов</w:t>
            </w:r>
          </w:p>
        </w:tc>
        <w:tc>
          <w:tcPr>
            <w:tcW w:w="990" w:type="dxa"/>
            <w:noWrap/>
            <w:vAlign w:val="bottom"/>
            <w:hideMark/>
          </w:tcPr>
          <w:p w14:paraId="296873F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3 124</w:t>
            </w:r>
          </w:p>
        </w:tc>
        <w:tc>
          <w:tcPr>
            <w:tcW w:w="849" w:type="dxa"/>
            <w:noWrap/>
            <w:vAlign w:val="bottom"/>
            <w:hideMark/>
          </w:tcPr>
          <w:p w14:paraId="27355D2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0,7%</w:t>
            </w:r>
          </w:p>
        </w:tc>
        <w:tc>
          <w:tcPr>
            <w:tcW w:w="842" w:type="dxa"/>
            <w:noWrap/>
            <w:vAlign w:val="bottom"/>
            <w:hideMark/>
          </w:tcPr>
          <w:p w14:paraId="4542720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</w:t>
            </w:r>
          </w:p>
        </w:tc>
      </w:tr>
      <w:tr w:rsidR="00867954" w:rsidRPr="00D15091" w14:paraId="765C6CCD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664C91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9" w:type="dxa"/>
            <w:noWrap/>
            <w:vAlign w:val="bottom"/>
            <w:hideMark/>
          </w:tcPr>
          <w:p w14:paraId="1382CDA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1C17200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81%</w:t>
            </w:r>
          </w:p>
        </w:tc>
        <w:tc>
          <w:tcPr>
            <w:tcW w:w="2350" w:type="dxa"/>
            <w:noWrap/>
            <w:vAlign w:val="bottom"/>
            <w:hideMark/>
          </w:tcPr>
          <w:p w14:paraId="3E33BF0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ФАРВАТЕР,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6233276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Санкт-Петербург</w:t>
            </w:r>
          </w:p>
        </w:tc>
        <w:tc>
          <w:tcPr>
            <w:tcW w:w="1936" w:type="dxa"/>
            <w:noWrap/>
            <w:vAlign w:val="bottom"/>
            <w:hideMark/>
          </w:tcPr>
          <w:p w14:paraId="5F7BBAC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 xml:space="preserve">Торговля оптовая прочими пищевыми продуктами, включая </w:t>
            </w: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lastRenderedPageBreak/>
              <w:t>рыбу, ракообразных и моллюсков</w:t>
            </w:r>
          </w:p>
        </w:tc>
        <w:tc>
          <w:tcPr>
            <w:tcW w:w="990" w:type="dxa"/>
            <w:noWrap/>
            <w:vAlign w:val="bottom"/>
            <w:hideMark/>
          </w:tcPr>
          <w:p w14:paraId="28B8BFF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lastRenderedPageBreak/>
              <w:t>1 869</w:t>
            </w:r>
          </w:p>
        </w:tc>
        <w:tc>
          <w:tcPr>
            <w:tcW w:w="849" w:type="dxa"/>
            <w:noWrap/>
            <w:vAlign w:val="bottom"/>
            <w:hideMark/>
          </w:tcPr>
          <w:p w14:paraId="52A8C9C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2,4%</w:t>
            </w:r>
          </w:p>
        </w:tc>
        <w:tc>
          <w:tcPr>
            <w:tcW w:w="842" w:type="dxa"/>
            <w:noWrap/>
            <w:vAlign w:val="bottom"/>
            <w:hideMark/>
          </w:tcPr>
          <w:p w14:paraId="3052DFB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</w:t>
            </w:r>
          </w:p>
        </w:tc>
      </w:tr>
      <w:tr w:rsidR="00867954" w:rsidRPr="00D15091" w14:paraId="0D3FE032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52C6FD1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9" w:type="dxa"/>
            <w:noWrap/>
            <w:vAlign w:val="bottom"/>
            <w:hideMark/>
          </w:tcPr>
          <w:p w14:paraId="36E7541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71" w:type="dxa"/>
            <w:noWrap/>
            <w:vAlign w:val="bottom"/>
            <w:hideMark/>
          </w:tcPr>
          <w:p w14:paraId="6392955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81%</w:t>
            </w:r>
          </w:p>
        </w:tc>
        <w:tc>
          <w:tcPr>
            <w:tcW w:w="2350" w:type="dxa"/>
            <w:noWrap/>
            <w:vAlign w:val="bottom"/>
            <w:hideMark/>
          </w:tcPr>
          <w:p w14:paraId="0977AB9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КОНСТРУКТОР ГРУПП,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4EFE347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092FA20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Строительство жилых и нежилых зданий</w:t>
            </w:r>
          </w:p>
        </w:tc>
        <w:tc>
          <w:tcPr>
            <w:tcW w:w="990" w:type="dxa"/>
            <w:noWrap/>
            <w:vAlign w:val="bottom"/>
            <w:hideMark/>
          </w:tcPr>
          <w:p w14:paraId="0368D15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4 663</w:t>
            </w:r>
          </w:p>
        </w:tc>
        <w:tc>
          <w:tcPr>
            <w:tcW w:w="849" w:type="dxa"/>
            <w:noWrap/>
            <w:vAlign w:val="bottom"/>
            <w:hideMark/>
          </w:tcPr>
          <w:p w14:paraId="67340A2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0,5%</w:t>
            </w:r>
          </w:p>
        </w:tc>
        <w:tc>
          <w:tcPr>
            <w:tcW w:w="842" w:type="dxa"/>
            <w:noWrap/>
            <w:vAlign w:val="bottom"/>
            <w:hideMark/>
          </w:tcPr>
          <w:p w14:paraId="5275D38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18</w:t>
            </w:r>
          </w:p>
        </w:tc>
      </w:tr>
      <w:tr w:rsidR="00867954" w:rsidRPr="00D15091" w14:paraId="62A07A86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68899F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89" w:type="dxa"/>
            <w:noWrap/>
            <w:vAlign w:val="bottom"/>
            <w:hideMark/>
          </w:tcPr>
          <w:p w14:paraId="218723E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5878E48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81%</w:t>
            </w:r>
          </w:p>
        </w:tc>
        <w:tc>
          <w:tcPr>
            <w:tcW w:w="2350" w:type="dxa"/>
            <w:noWrap/>
            <w:vAlign w:val="bottom"/>
            <w:hideMark/>
          </w:tcPr>
          <w:p w14:paraId="30E2FA5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ПАН ЭЛЕКТРИК, ООО ТД</w:t>
            </w:r>
          </w:p>
        </w:tc>
        <w:tc>
          <w:tcPr>
            <w:tcW w:w="1426" w:type="dxa"/>
            <w:noWrap/>
            <w:vAlign w:val="bottom"/>
            <w:hideMark/>
          </w:tcPr>
          <w:p w14:paraId="0EA9938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Московская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1A8E3C7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бытовыми электротоварами</w:t>
            </w:r>
          </w:p>
        </w:tc>
        <w:tc>
          <w:tcPr>
            <w:tcW w:w="990" w:type="dxa"/>
            <w:noWrap/>
            <w:vAlign w:val="bottom"/>
            <w:hideMark/>
          </w:tcPr>
          <w:p w14:paraId="5DB1D26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2 588</w:t>
            </w:r>
          </w:p>
        </w:tc>
        <w:tc>
          <w:tcPr>
            <w:tcW w:w="849" w:type="dxa"/>
            <w:noWrap/>
            <w:vAlign w:val="bottom"/>
            <w:hideMark/>
          </w:tcPr>
          <w:p w14:paraId="09E1B65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2,7%</w:t>
            </w:r>
          </w:p>
        </w:tc>
        <w:tc>
          <w:tcPr>
            <w:tcW w:w="842" w:type="dxa"/>
            <w:noWrap/>
            <w:vAlign w:val="bottom"/>
            <w:hideMark/>
          </w:tcPr>
          <w:p w14:paraId="331C602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</w:t>
            </w:r>
          </w:p>
        </w:tc>
      </w:tr>
      <w:tr w:rsidR="00867954" w:rsidRPr="00D15091" w14:paraId="238C1A9F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41894AC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89" w:type="dxa"/>
            <w:noWrap/>
            <w:vAlign w:val="bottom"/>
            <w:hideMark/>
          </w:tcPr>
          <w:p w14:paraId="4B06CE4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5F24115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79%</w:t>
            </w:r>
          </w:p>
        </w:tc>
        <w:tc>
          <w:tcPr>
            <w:tcW w:w="2350" w:type="dxa"/>
            <w:noWrap/>
            <w:vAlign w:val="bottom"/>
            <w:hideMark/>
          </w:tcPr>
          <w:p w14:paraId="05B951F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ОРДА, ООО ТК</w:t>
            </w:r>
          </w:p>
        </w:tc>
        <w:tc>
          <w:tcPr>
            <w:tcW w:w="1426" w:type="dxa"/>
            <w:noWrap/>
            <w:vAlign w:val="bottom"/>
            <w:hideMark/>
          </w:tcPr>
          <w:p w14:paraId="318ABFD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Красноярский край</w:t>
            </w:r>
          </w:p>
        </w:tc>
        <w:tc>
          <w:tcPr>
            <w:tcW w:w="1936" w:type="dxa"/>
            <w:noWrap/>
            <w:vAlign w:val="bottom"/>
            <w:hideMark/>
          </w:tcPr>
          <w:p w14:paraId="32EE2A51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990" w:type="dxa"/>
            <w:noWrap/>
            <w:vAlign w:val="bottom"/>
            <w:hideMark/>
          </w:tcPr>
          <w:p w14:paraId="75DA3A6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2 908</w:t>
            </w:r>
          </w:p>
        </w:tc>
        <w:tc>
          <w:tcPr>
            <w:tcW w:w="849" w:type="dxa"/>
            <w:noWrap/>
            <w:vAlign w:val="bottom"/>
            <w:hideMark/>
          </w:tcPr>
          <w:p w14:paraId="4FFF0DC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7,0%</w:t>
            </w:r>
          </w:p>
        </w:tc>
        <w:tc>
          <w:tcPr>
            <w:tcW w:w="842" w:type="dxa"/>
            <w:noWrap/>
            <w:vAlign w:val="bottom"/>
            <w:hideMark/>
          </w:tcPr>
          <w:p w14:paraId="06C08A7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64</w:t>
            </w:r>
          </w:p>
        </w:tc>
      </w:tr>
      <w:tr w:rsidR="00867954" w:rsidRPr="00D15091" w14:paraId="3F218744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50E60C1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9" w:type="dxa"/>
            <w:noWrap/>
            <w:vAlign w:val="bottom"/>
            <w:hideMark/>
          </w:tcPr>
          <w:p w14:paraId="246BCA3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563A833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79%</w:t>
            </w:r>
          </w:p>
        </w:tc>
        <w:tc>
          <w:tcPr>
            <w:tcW w:w="2350" w:type="dxa"/>
            <w:noWrap/>
            <w:vAlign w:val="bottom"/>
            <w:hideMark/>
          </w:tcPr>
          <w:p w14:paraId="1DC8B4E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ЛАМПЛИТ ПЛЮС,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37D0557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Владимирская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4E6C5AE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990" w:type="dxa"/>
            <w:noWrap/>
            <w:vAlign w:val="bottom"/>
            <w:hideMark/>
          </w:tcPr>
          <w:p w14:paraId="2DE8162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2 098</w:t>
            </w:r>
          </w:p>
        </w:tc>
        <w:tc>
          <w:tcPr>
            <w:tcW w:w="849" w:type="dxa"/>
            <w:noWrap/>
            <w:vAlign w:val="bottom"/>
            <w:hideMark/>
          </w:tcPr>
          <w:p w14:paraId="3BA5AB0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3,3%</w:t>
            </w:r>
          </w:p>
        </w:tc>
        <w:tc>
          <w:tcPr>
            <w:tcW w:w="842" w:type="dxa"/>
            <w:noWrap/>
            <w:vAlign w:val="bottom"/>
            <w:hideMark/>
          </w:tcPr>
          <w:p w14:paraId="5D9F30D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</w:t>
            </w:r>
          </w:p>
        </w:tc>
      </w:tr>
      <w:tr w:rsidR="00867954" w:rsidRPr="00D15091" w14:paraId="14ADBC46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44F096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89" w:type="dxa"/>
            <w:noWrap/>
            <w:vAlign w:val="bottom"/>
            <w:hideMark/>
          </w:tcPr>
          <w:p w14:paraId="67289C1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1BFA13B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79%</w:t>
            </w:r>
          </w:p>
        </w:tc>
        <w:tc>
          <w:tcPr>
            <w:tcW w:w="2350" w:type="dxa"/>
            <w:noWrap/>
            <w:vAlign w:val="bottom"/>
            <w:hideMark/>
          </w:tcPr>
          <w:p w14:paraId="63D37E7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НОВОСИБИРСКХЛЕБОПРОДУКТ, АО</w:t>
            </w:r>
          </w:p>
        </w:tc>
        <w:tc>
          <w:tcPr>
            <w:tcW w:w="1426" w:type="dxa"/>
            <w:noWrap/>
            <w:vAlign w:val="bottom"/>
            <w:hideMark/>
          </w:tcPr>
          <w:p w14:paraId="43A78867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0D28A3D9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зерном, необработанным табаком, семенами и кормами для сельскохозяйственных животных</w:t>
            </w:r>
          </w:p>
        </w:tc>
        <w:tc>
          <w:tcPr>
            <w:tcW w:w="990" w:type="dxa"/>
            <w:noWrap/>
            <w:vAlign w:val="bottom"/>
            <w:hideMark/>
          </w:tcPr>
          <w:p w14:paraId="6B2279C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7 817</w:t>
            </w:r>
          </w:p>
        </w:tc>
        <w:tc>
          <w:tcPr>
            <w:tcW w:w="849" w:type="dxa"/>
            <w:noWrap/>
            <w:vAlign w:val="bottom"/>
            <w:hideMark/>
          </w:tcPr>
          <w:p w14:paraId="24A7694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2,2%</w:t>
            </w:r>
          </w:p>
        </w:tc>
        <w:tc>
          <w:tcPr>
            <w:tcW w:w="842" w:type="dxa"/>
            <w:noWrap/>
            <w:vAlign w:val="bottom"/>
            <w:hideMark/>
          </w:tcPr>
          <w:p w14:paraId="457E2DBE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</w:t>
            </w:r>
          </w:p>
        </w:tc>
      </w:tr>
      <w:tr w:rsidR="00867954" w:rsidRPr="00D15091" w14:paraId="2F6D1DB8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81C92A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89" w:type="dxa"/>
            <w:noWrap/>
            <w:vAlign w:val="bottom"/>
            <w:hideMark/>
          </w:tcPr>
          <w:p w14:paraId="2B323C7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145DB5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77%</w:t>
            </w:r>
          </w:p>
        </w:tc>
        <w:tc>
          <w:tcPr>
            <w:tcW w:w="2350" w:type="dxa"/>
            <w:noWrap/>
            <w:vAlign w:val="bottom"/>
            <w:hideMark/>
          </w:tcPr>
          <w:p w14:paraId="2FFBC6E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СГМ-ГРУПП,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690B991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7CFDC2A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автотранспортными средствами</w:t>
            </w:r>
          </w:p>
        </w:tc>
        <w:tc>
          <w:tcPr>
            <w:tcW w:w="990" w:type="dxa"/>
            <w:noWrap/>
            <w:vAlign w:val="bottom"/>
            <w:hideMark/>
          </w:tcPr>
          <w:p w14:paraId="2E2167B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2 522</w:t>
            </w:r>
          </w:p>
        </w:tc>
        <w:tc>
          <w:tcPr>
            <w:tcW w:w="849" w:type="dxa"/>
            <w:noWrap/>
            <w:vAlign w:val="bottom"/>
            <w:hideMark/>
          </w:tcPr>
          <w:p w14:paraId="5293E83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3,0%</w:t>
            </w:r>
          </w:p>
        </w:tc>
        <w:tc>
          <w:tcPr>
            <w:tcW w:w="842" w:type="dxa"/>
            <w:noWrap/>
            <w:vAlign w:val="bottom"/>
            <w:hideMark/>
          </w:tcPr>
          <w:p w14:paraId="0F40439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5B2DF5DF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819E1FB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9" w:type="dxa"/>
            <w:noWrap/>
            <w:vAlign w:val="bottom"/>
            <w:hideMark/>
          </w:tcPr>
          <w:p w14:paraId="63FF0E4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71" w:type="dxa"/>
            <w:noWrap/>
            <w:vAlign w:val="bottom"/>
            <w:hideMark/>
          </w:tcPr>
          <w:p w14:paraId="4AD2DD0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76%</w:t>
            </w:r>
          </w:p>
        </w:tc>
        <w:tc>
          <w:tcPr>
            <w:tcW w:w="2350" w:type="dxa"/>
            <w:noWrap/>
            <w:vAlign w:val="bottom"/>
            <w:hideMark/>
          </w:tcPr>
          <w:p w14:paraId="16765AB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БУМХИМИНВЕСТ,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5582098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Пермский край</w:t>
            </w:r>
          </w:p>
        </w:tc>
        <w:tc>
          <w:tcPr>
            <w:tcW w:w="1936" w:type="dxa"/>
            <w:noWrap/>
            <w:vAlign w:val="bottom"/>
            <w:hideMark/>
          </w:tcPr>
          <w:p w14:paraId="78B42F9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бумагой и картоном</w:t>
            </w:r>
          </w:p>
        </w:tc>
        <w:tc>
          <w:tcPr>
            <w:tcW w:w="990" w:type="dxa"/>
            <w:noWrap/>
            <w:vAlign w:val="bottom"/>
            <w:hideMark/>
          </w:tcPr>
          <w:p w14:paraId="3393CDB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849" w:type="dxa"/>
            <w:noWrap/>
            <w:vAlign w:val="bottom"/>
            <w:hideMark/>
          </w:tcPr>
          <w:p w14:paraId="4847AF2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2,9%</w:t>
            </w:r>
          </w:p>
        </w:tc>
        <w:tc>
          <w:tcPr>
            <w:tcW w:w="842" w:type="dxa"/>
            <w:noWrap/>
            <w:vAlign w:val="bottom"/>
            <w:hideMark/>
          </w:tcPr>
          <w:p w14:paraId="01169A6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45D2A24A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0D3E5C6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9" w:type="dxa"/>
            <w:noWrap/>
            <w:vAlign w:val="bottom"/>
            <w:hideMark/>
          </w:tcPr>
          <w:p w14:paraId="2C6BD26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3F73A45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76%</w:t>
            </w:r>
          </w:p>
        </w:tc>
        <w:tc>
          <w:tcPr>
            <w:tcW w:w="2350" w:type="dxa"/>
            <w:noWrap/>
            <w:vAlign w:val="bottom"/>
            <w:hideMark/>
          </w:tcPr>
          <w:p w14:paraId="52747F29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 xml:space="preserve">НИИ </w:t>
            </w:r>
            <w:r w:rsidR="000A3A29" w:rsidRPr="000A3A29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ЭКОЛОГИИ И РАЦИОНАЛЬНОГО ИСПОЛЬЗОВАНИЯ ПРИРОДНЫХ РЕСУРСОВ</w:t>
            </w: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5A3F34C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Тюменская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45D81A1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Обработка и утилизация опасных отходов</w:t>
            </w:r>
          </w:p>
        </w:tc>
        <w:tc>
          <w:tcPr>
            <w:tcW w:w="990" w:type="dxa"/>
            <w:noWrap/>
            <w:vAlign w:val="bottom"/>
            <w:hideMark/>
          </w:tcPr>
          <w:p w14:paraId="0E6EE5B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1 861</w:t>
            </w:r>
          </w:p>
        </w:tc>
        <w:tc>
          <w:tcPr>
            <w:tcW w:w="849" w:type="dxa"/>
            <w:noWrap/>
            <w:vAlign w:val="bottom"/>
            <w:hideMark/>
          </w:tcPr>
          <w:p w14:paraId="4F6F57C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6,8%</w:t>
            </w:r>
          </w:p>
        </w:tc>
        <w:tc>
          <w:tcPr>
            <w:tcW w:w="842" w:type="dxa"/>
            <w:noWrap/>
            <w:vAlign w:val="bottom"/>
            <w:hideMark/>
          </w:tcPr>
          <w:p w14:paraId="7D872CE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21</w:t>
            </w:r>
          </w:p>
        </w:tc>
      </w:tr>
      <w:tr w:rsidR="00867954" w:rsidRPr="00D15091" w14:paraId="4B35AB97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3CA8BAD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89" w:type="dxa"/>
            <w:noWrap/>
            <w:vAlign w:val="bottom"/>
            <w:hideMark/>
          </w:tcPr>
          <w:p w14:paraId="3014884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71" w:type="dxa"/>
            <w:noWrap/>
            <w:vAlign w:val="bottom"/>
            <w:hideMark/>
          </w:tcPr>
          <w:p w14:paraId="1EBD9C4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74%</w:t>
            </w:r>
          </w:p>
        </w:tc>
        <w:tc>
          <w:tcPr>
            <w:tcW w:w="2350" w:type="dxa"/>
            <w:noWrap/>
            <w:vAlign w:val="bottom"/>
            <w:hideMark/>
          </w:tcPr>
          <w:p w14:paraId="6B224E3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ЯММИ ГРУП,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1E1FE48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Ставропольский край</w:t>
            </w:r>
          </w:p>
        </w:tc>
        <w:tc>
          <w:tcPr>
            <w:tcW w:w="1936" w:type="dxa"/>
            <w:noWrap/>
            <w:vAlign w:val="bottom"/>
            <w:hideMark/>
          </w:tcPr>
          <w:p w14:paraId="488E162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990" w:type="dxa"/>
            <w:noWrap/>
            <w:vAlign w:val="bottom"/>
            <w:hideMark/>
          </w:tcPr>
          <w:p w14:paraId="0DF5E37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3 230</w:t>
            </w:r>
          </w:p>
        </w:tc>
        <w:tc>
          <w:tcPr>
            <w:tcW w:w="849" w:type="dxa"/>
            <w:noWrap/>
            <w:vAlign w:val="bottom"/>
            <w:hideMark/>
          </w:tcPr>
          <w:p w14:paraId="2D231BC7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6,2%</w:t>
            </w:r>
          </w:p>
        </w:tc>
        <w:tc>
          <w:tcPr>
            <w:tcW w:w="842" w:type="dxa"/>
            <w:noWrap/>
            <w:vAlign w:val="bottom"/>
            <w:hideMark/>
          </w:tcPr>
          <w:p w14:paraId="36ED5DD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26</w:t>
            </w:r>
          </w:p>
        </w:tc>
      </w:tr>
      <w:tr w:rsidR="00867954" w:rsidRPr="00D15091" w14:paraId="0EEC8A97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504995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89" w:type="dxa"/>
            <w:noWrap/>
            <w:vAlign w:val="bottom"/>
            <w:hideMark/>
          </w:tcPr>
          <w:p w14:paraId="7C7AB3F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0A57922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74%</w:t>
            </w:r>
          </w:p>
        </w:tc>
        <w:tc>
          <w:tcPr>
            <w:tcW w:w="2350" w:type="dxa"/>
            <w:noWrap/>
            <w:vAlign w:val="bottom"/>
            <w:hideMark/>
          </w:tcPr>
          <w:p w14:paraId="5C8FBB10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ТД НАРОДНЫЙ,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1108322D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Воронежская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0279A844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Производство крупы и гранул из зерновых культур</w:t>
            </w:r>
          </w:p>
        </w:tc>
        <w:tc>
          <w:tcPr>
            <w:tcW w:w="990" w:type="dxa"/>
            <w:noWrap/>
            <w:vAlign w:val="bottom"/>
            <w:hideMark/>
          </w:tcPr>
          <w:p w14:paraId="1038E9D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849" w:type="dxa"/>
            <w:noWrap/>
            <w:vAlign w:val="bottom"/>
            <w:hideMark/>
          </w:tcPr>
          <w:p w14:paraId="7270566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3,1%</w:t>
            </w:r>
          </w:p>
        </w:tc>
        <w:tc>
          <w:tcPr>
            <w:tcW w:w="842" w:type="dxa"/>
            <w:noWrap/>
            <w:vAlign w:val="bottom"/>
            <w:hideMark/>
          </w:tcPr>
          <w:p w14:paraId="5AAF376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20</w:t>
            </w:r>
          </w:p>
        </w:tc>
      </w:tr>
      <w:tr w:rsidR="00867954" w:rsidRPr="00D15091" w14:paraId="4F2A7655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238D6A1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89" w:type="dxa"/>
            <w:noWrap/>
            <w:vAlign w:val="bottom"/>
            <w:hideMark/>
          </w:tcPr>
          <w:p w14:paraId="032CE1A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71" w:type="dxa"/>
            <w:noWrap/>
            <w:vAlign w:val="bottom"/>
            <w:hideMark/>
          </w:tcPr>
          <w:p w14:paraId="6BD8CA6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74%</w:t>
            </w:r>
          </w:p>
        </w:tc>
        <w:tc>
          <w:tcPr>
            <w:tcW w:w="2350" w:type="dxa"/>
            <w:noWrap/>
            <w:vAlign w:val="bottom"/>
            <w:hideMark/>
          </w:tcPr>
          <w:p w14:paraId="76DAE23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СКР,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462512F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1754CC52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Строительство жилых и нежилых зданий</w:t>
            </w:r>
          </w:p>
        </w:tc>
        <w:tc>
          <w:tcPr>
            <w:tcW w:w="990" w:type="dxa"/>
            <w:noWrap/>
            <w:vAlign w:val="bottom"/>
            <w:hideMark/>
          </w:tcPr>
          <w:p w14:paraId="2B2F29A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3 328</w:t>
            </w:r>
          </w:p>
        </w:tc>
        <w:tc>
          <w:tcPr>
            <w:tcW w:w="849" w:type="dxa"/>
            <w:noWrap/>
            <w:vAlign w:val="bottom"/>
            <w:hideMark/>
          </w:tcPr>
          <w:p w14:paraId="4B5E9B0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0,4%</w:t>
            </w:r>
          </w:p>
        </w:tc>
        <w:tc>
          <w:tcPr>
            <w:tcW w:w="842" w:type="dxa"/>
            <w:noWrap/>
            <w:vAlign w:val="bottom"/>
            <w:hideMark/>
          </w:tcPr>
          <w:p w14:paraId="076F2D5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21</w:t>
            </w:r>
          </w:p>
        </w:tc>
      </w:tr>
      <w:tr w:rsidR="00867954" w:rsidRPr="00D15091" w14:paraId="631EE73A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2B0A890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89" w:type="dxa"/>
            <w:noWrap/>
            <w:vAlign w:val="bottom"/>
            <w:hideMark/>
          </w:tcPr>
          <w:p w14:paraId="4E37857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30821B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72%</w:t>
            </w:r>
          </w:p>
        </w:tc>
        <w:tc>
          <w:tcPr>
            <w:tcW w:w="2350" w:type="dxa"/>
            <w:noWrap/>
            <w:vAlign w:val="bottom"/>
            <w:hideMark/>
          </w:tcPr>
          <w:p w14:paraId="2A022A2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ШИНЫ И ДИСКИ КАЗАНЬ,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30179DEA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Республика Татарстан</w:t>
            </w:r>
          </w:p>
        </w:tc>
        <w:tc>
          <w:tcPr>
            <w:tcW w:w="1936" w:type="dxa"/>
            <w:noWrap/>
            <w:vAlign w:val="bottom"/>
            <w:hideMark/>
          </w:tcPr>
          <w:p w14:paraId="1511F6F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автомобильными деталями, узлами и принадлежностями</w:t>
            </w:r>
          </w:p>
        </w:tc>
        <w:tc>
          <w:tcPr>
            <w:tcW w:w="990" w:type="dxa"/>
            <w:noWrap/>
            <w:vAlign w:val="bottom"/>
            <w:hideMark/>
          </w:tcPr>
          <w:p w14:paraId="6D3D581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7 656</w:t>
            </w:r>
          </w:p>
        </w:tc>
        <w:tc>
          <w:tcPr>
            <w:tcW w:w="849" w:type="dxa"/>
            <w:noWrap/>
            <w:vAlign w:val="bottom"/>
            <w:hideMark/>
          </w:tcPr>
          <w:p w14:paraId="656896A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2,3%</w:t>
            </w:r>
          </w:p>
        </w:tc>
        <w:tc>
          <w:tcPr>
            <w:tcW w:w="842" w:type="dxa"/>
            <w:noWrap/>
            <w:vAlign w:val="bottom"/>
            <w:hideMark/>
          </w:tcPr>
          <w:p w14:paraId="7868AF6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9</w:t>
            </w:r>
          </w:p>
        </w:tc>
      </w:tr>
      <w:tr w:rsidR="00867954" w:rsidRPr="00D15091" w14:paraId="3084A9BE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3399750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89" w:type="dxa"/>
            <w:noWrap/>
            <w:vAlign w:val="bottom"/>
            <w:hideMark/>
          </w:tcPr>
          <w:p w14:paraId="212ABED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7FE92F20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70%</w:t>
            </w:r>
          </w:p>
        </w:tc>
        <w:tc>
          <w:tcPr>
            <w:tcW w:w="2350" w:type="dxa"/>
            <w:noWrap/>
            <w:vAlign w:val="bottom"/>
            <w:hideMark/>
          </w:tcPr>
          <w:p w14:paraId="2FC1CEB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ТОПОЛЬ,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3924387E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Алтайский край</w:t>
            </w:r>
          </w:p>
        </w:tc>
        <w:tc>
          <w:tcPr>
            <w:tcW w:w="1936" w:type="dxa"/>
            <w:noWrap/>
            <w:vAlign w:val="bottom"/>
            <w:hideMark/>
          </w:tcPr>
          <w:p w14:paraId="3D9816D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прочими пищевыми продуктами</w:t>
            </w:r>
          </w:p>
        </w:tc>
        <w:tc>
          <w:tcPr>
            <w:tcW w:w="990" w:type="dxa"/>
            <w:noWrap/>
            <w:vAlign w:val="bottom"/>
            <w:hideMark/>
          </w:tcPr>
          <w:p w14:paraId="0EB0DA26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1 410</w:t>
            </w:r>
          </w:p>
        </w:tc>
        <w:tc>
          <w:tcPr>
            <w:tcW w:w="849" w:type="dxa"/>
            <w:noWrap/>
            <w:vAlign w:val="bottom"/>
            <w:hideMark/>
          </w:tcPr>
          <w:p w14:paraId="31ADA571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1,6%</w:t>
            </w:r>
          </w:p>
        </w:tc>
        <w:tc>
          <w:tcPr>
            <w:tcW w:w="842" w:type="dxa"/>
            <w:noWrap/>
            <w:vAlign w:val="bottom"/>
            <w:hideMark/>
          </w:tcPr>
          <w:p w14:paraId="6DB0BE6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12</w:t>
            </w:r>
          </w:p>
        </w:tc>
      </w:tr>
      <w:tr w:rsidR="00867954" w:rsidRPr="00D15091" w14:paraId="306D86B6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6C70A67A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89" w:type="dxa"/>
            <w:noWrap/>
            <w:vAlign w:val="bottom"/>
            <w:hideMark/>
          </w:tcPr>
          <w:p w14:paraId="38AF88F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41261BE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70%</w:t>
            </w:r>
          </w:p>
        </w:tc>
        <w:tc>
          <w:tcPr>
            <w:tcW w:w="2350" w:type="dxa"/>
            <w:noWrap/>
            <w:vAlign w:val="bottom"/>
            <w:hideMark/>
          </w:tcPr>
          <w:p w14:paraId="6E098B9D" w14:textId="77777777" w:rsidR="00867954" w:rsidRPr="00867954" w:rsidRDefault="000A3A29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0A3A29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ПРОМНЕФТЕГАЗИНЖИНИРИНГ</w:t>
            </w:r>
            <w:r w:rsidR="00867954"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7F3DFB4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07DE76CB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 xml:space="preserve">Деятельность, связанная с инженерно-техническим </w:t>
            </w: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lastRenderedPageBreak/>
              <w:t>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990" w:type="dxa"/>
            <w:noWrap/>
            <w:vAlign w:val="bottom"/>
            <w:hideMark/>
          </w:tcPr>
          <w:p w14:paraId="7C7FF7A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lastRenderedPageBreak/>
              <w:t>4 279</w:t>
            </w:r>
          </w:p>
        </w:tc>
        <w:tc>
          <w:tcPr>
            <w:tcW w:w="849" w:type="dxa"/>
            <w:noWrap/>
            <w:vAlign w:val="bottom"/>
            <w:hideMark/>
          </w:tcPr>
          <w:p w14:paraId="544D8EF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1,4%</w:t>
            </w:r>
          </w:p>
        </w:tc>
        <w:tc>
          <w:tcPr>
            <w:tcW w:w="842" w:type="dxa"/>
            <w:noWrap/>
            <w:vAlign w:val="bottom"/>
            <w:hideMark/>
          </w:tcPr>
          <w:p w14:paraId="3E71D7B8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19</w:t>
            </w:r>
          </w:p>
        </w:tc>
      </w:tr>
      <w:tr w:rsidR="00867954" w:rsidRPr="00D15091" w14:paraId="5CA7899C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74D5B7ED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89" w:type="dxa"/>
            <w:noWrap/>
            <w:vAlign w:val="bottom"/>
            <w:hideMark/>
          </w:tcPr>
          <w:p w14:paraId="45FDE7B3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38AE8762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70%</w:t>
            </w:r>
          </w:p>
        </w:tc>
        <w:tc>
          <w:tcPr>
            <w:tcW w:w="2350" w:type="dxa"/>
            <w:noWrap/>
            <w:vAlign w:val="bottom"/>
            <w:hideMark/>
          </w:tcPr>
          <w:p w14:paraId="1A8C8DC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ПОЛАР, ООО</w:t>
            </w:r>
          </w:p>
        </w:tc>
        <w:tc>
          <w:tcPr>
            <w:tcW w:w="1426" w:type="dxa"/>
            <w:noWrap/>
            <w:vAlign w:val="bottom"/>
            <w:hideMark/>
          </w:tcPr>
          <w:p w14:paraId="1D27B03C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Москва</w:t>
            </w:r>
          </w:p>
        </w:tc>
        <w:tc>
          <w:tcPr>
            <w:tcW w:w="1936" w:type="dxa"/>
            <w:noWrap/>
            <w:vAlign w:val="bottom"/>
            <w:hideMark/>
          </w:tcPr>
          <w:p w14:paraId="16A0B655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990" w:type="dxa"/>
            <w:noWrap/>
            <w:vAlign w:val="bottom"/>
            <w:hideMark/>
          </w:tcPr>
          <w:p w14:paraId="2E7F87C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2 383</w:t>
            </w:r>
          </w:p>
        </w:tc>
        <w:tc>
          <w:tcPr>
            <w:tcW w:w="849" w:type="dxa"/>
            <w:noWrap/>
            <w:vAlign w:val="bottom"/>
            <w:hideMark/>
          </w:tcPr>
          <w:p w14:paraId="6D88161C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7,3%</w:t>
            </w:r>
          </w:p>
        </w:tc>
        <w:tc>
          <w:tcPr>
            <w:tcW w:w="842" w:type="dxa"/>
            <w:noWrap/>
            <w:vAlign w:val="bottom"/>
            <w:hideMark/>
          </w:tcPr>
          <w:p w14:paraId="18C51AF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8</w:t>
            </w:r>
          </w:p>
        </w:tc>
      </w:tr>
      <w:tr w:rsidR="00867954" w:rsidRPr="00D15091" w14:paraId="1CBC60D4" w14:textId="77777777" w:rsidTr="00867954">
        <w:trPr>
          <w:trHeight w:val="315"/>
        </w:trPr>
        <w:tc>
          <w:tcPr>
            <w:tcW w:w="590" w:type="dxa"/>
            <w:noWrap/>
            <w:vAlign w:val="bottom"/>
            <w:hideMark/>
          </w:tcPr>
          <w:p w14:paraId="2256FB64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89" w:type="dxa"/>
            <w:noWrap/>
            <w:vAlign w:val="bottom"/>
            <w:hideMark/>
          </w:tcPr>
          <w:p w14:paraId="7DF6FD5F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1" w:type="dxa"/>
            <w:noWrap/>
            <w:vAlign w:val="bottom"/>
            <w:hideMark/>
          </w:tcPr>
          <w:p w14:paraId="076321BF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69%</w:t>
            </w:r>
          </w:p>
        </w:tc>
        <w:tc>
          <w:tcPr>
            <w:tcW w:w="2350" w:type="dxa"/>
            <w:noWrap/>
            <w:vAlign w:val="bottom"/>
            <w:hideMark/>
          </w:tcPr>
          <w:p w14:paraId="01125629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ЯРОСЛАВСКИЙ ЗАВОД ПВП, АО</w:t>
            </w:r>
          </w:p>
        </w:tc>
        <w:tc>
          <w:tcPr>
            <w:tcW w:w="1426" w:type="dxa"/>
            <w:noWrap/>
            <w:vAlign w:val="bottom"/>
            <w:hideMark/>
          </w:tcPr>
          <w:p w14:paraId="37801818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Ярославская область</w:t>
            </w:r>
          </w:p>
        </w:tc>
        <w:tc>
          <w:tcPr>
            <w:tcW w:w="1936" w:type="dxa"/>
            <w:noWrap/>
            <w:vAlign w:val="bottom"/>
            <w:hideMark/>
          </w:tcPr>
          <w:p w14:paraId="48292936" w14:textId="77777777" w:rsidR="00867954" w:rsidRPr="00867954" w:rsidRDefault="00867954" w:rsidP="00867954">
            <w:pPr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Деятельность по упаковыванию товаров</w:t>
            </w:r>
          </w:p>
        </w:tc>
        <w:tc>
          <w:tcPr>
            <w:tcW w:w="990" w:type="dxa"/>
            <w:noWrap/>
            <w:vAlign w:val="bottom"/>
            <w:hideMark/>
          </w:tcPr>
          <w:p w14:paraId="6E1ECF69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3 326</w:t>
            </w:r>
          </w:p>
        </w:tc>
        <w:tc>
          <w:tcPr>
            <w:tcW w:w="849" w:type="dxa"/>
            <w:noWrap/>
            <w:vAlign w:val="bottom"/>
            <w:hideMark/>
          </w:tcPr>
          <w:p w14:paraId="2F07E455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6,0%</w:t>
            </w:r>
          </w:p>
        </w:tc>
        <w:tc>
          <w:tcPr>
            <w:tcW w:w="842" w:type="dxa"/>
            <w:noWrap/>
            <w:vAlign w:val="bottom"/>
            <w:hideMark/>
          </w:tcPr>
          <w:p w14:paraId="5CCF6E03" w14:textId="77777777" w:rsidR="00867954" w:rsidRPr="00867954" w:rsidRDefault="00867954" w:rsidP="00867954">
            <w:pPr>
              <w:jc w:val="right"/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</w:pPr>
            <w:r w:rsidRPr="00867954">
              <w:rPr>
                <w:rFonts w:ascii="Calibri" w:eastAsiaTheme="minorEastAsia" w:hAnsi="Calibri" w:cs="Calibri"/>
                <w:sz w:val="16"/>
                <w:szCs w:val="16"/>
                <w:lang w:eastAsia="ru-RU"/>
              </w:rPr>
              <w:t>10</w:t>
            </w:r>
          </w:p>
        </w:tc>
      </w:tr>
    </w:tbl>
    <w:p w14:paraId="01DB6289" w14:textId="77777777" w:rsidR="00887F1A" w:rsidRPr="00887F1A" w:rsidRDefault="004455ED" w:rsidP="00887F1A">
      <w:pPr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*</w:t>
      </w:r>
      <w:r w:rsidR="00887F1A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В список включены компании со среднегодовыми темпами прироста выручки более 20%</w:t>
      </w:r>
      <w:r w:rsid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887F1A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в 201</w:t>
      </w:r>
      <w:r w:rsidR="0086795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7</w:t>
      </w:r>
      <w:r w:rsidR="00887F1A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–20</w:t>
      </w:r>
      <w:r w:rsidR="004F5407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2</w:t>
      </w:r>
      <w:r w:rsidR="0086795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1</w:t>
      </w:r>
      <w:r w:rsidR="00887F1A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гг. в постоянных ценах. Во второй колонке указаны компании, которые входили</w:t>
      </w:r>
      <w:r w:rsid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887F1A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в </w:t>
      </w:r>
      <w:r w:rsidR="004F5407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БРК</w:t>
      </w:r>
      <w:r w:rsidR="00887F1A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за </w:t>
      </w:r>
      <w:r w:rsidR="00867954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201</w:t>
      </w:r>
      <w:r w:rsidR="0086795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6</w:t>
      </w:r>
      <w:r w:rsidR="00867954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–20</w:t>
      </w:r>
      <w:r w:rsidR="00867954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20</w:t>
      </w:r>
      <w:r w:rsidR="00867954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887F1A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гг.</w:t>
      </w:r>
    </w:p>
    <w:p w14:paraId="585FDA1D" w14:textId="372BF189" w:rsidR="00887F1A" w:rsidRDefault="00887F1A" w:rsidP="00887F1A">
      <w:pPr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Значения Индекса финансового риска: 1</w:t>
      </w:r>
      <w:r w:rsidR="00DB51A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-30</w:t>
      </w:r>
      <w:r w:rsidR="00DB51AE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– низкий, </w:t>
      </w:r>
      <w:r w:rsidR="00DB51A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31-70</w:t>
      </w:r>
      <w:r w:rsidR="00DB51AE"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– средний, </w:t>
      </w:r>
      <w:r w:rsidR="00DB51A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71-</w:t>
      </w:r>
      <w:r w:rsidRPr="00887F1A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99 – высокий.</w:t>
      </w:r>
    </w:p>
    <w:p w14:paraId="703F7B27" w14:textId="5E158E48" w:rsidR="00F67F2F" w:rsidRDefault="00887F1A" w:rsidP="00887F1A">
      <w:pPr>
        <w:rPr>
          <w:rFonts w:ascii="Times New Roman" w:eastAsiaTheme="minorEastAsia" w:hAnsi="Times New Roman" w:cs="Times New Roman"/>
          <w:i/>
          <w:sz w:val="18"/>
          <w:szCs w:val="18"/>
          <w:vertAlign w:val="superscript"/>
          <w:lang w:eastAsia="ru-RU"/>
        </w:rPr>
      </w:pPr>
      <w:r w:rsidRPr="00842549">
        <w:rPr>
          <w:rFonts w:ascii="Times New Roman" w:eastAsiaTheme="minorEastAsia" w:hAnsi="Times New Roman" w:cs="Times New Roman"/>
          <w:i/>
          <w:sz w:val="18"/>
          <w:szCs w:val="18"/>
          <w:vertAlign w:val="superscript"/>
          <w:lang w:eastAsia="ru-RU"/>
        </w:rPr>
        <w:t>Источник:</w:t>
      </w:r>
      <w:r w:rsidR="00DB51AE" w:rsidRPr="00842549">
        <w:rPr>
          <w:rFonts w:ascii="Times New Roman" w:eastAsiaTheme="minorEastAsia" w:hAnsi="Times New Roman" w:cs="Times New Roman"/>
          <w:i/>
          <w:sz w:val="18"/>
          <w:szCs w:val="18"/>
          <w:vertAlign w:val="superscript"/>
          <w:lang w:eastAsia="ru-RU"/>
        </w:rPr>
        <w:t xml:space="preserve"> </w:t>
      </w:r>
      <w:r w:rsidR="00D2765C" w:rsidRPr="00842549">
        <w:rPr>
          <w:rFonts w:ascii="Times New Roman" w:eastAsiaTheme="minorEastAsia" w:hAnsi="Times New Roman" w:cs="Times New Roman"/>
          <w:i/>
          <w:sz w:val="18"/>
          <w:szCs w:val="18"/>
          <w:vertAlign w:val="superscript"/>
          <w:lang w:eastAsia="ru-RU"/>
        </w:rPr>
        <w:t>«</w:t>
      </w:r>
      <w:r w:rsidRPr="00842549">
        <w:rPr>
          <w:rFonts w:ascii="Times New Roman" w:eastAsiaTheme="minorEastAsia" w:hAnsi="Times New Roman" w:cs="Times New Roman"/>
          <w:i/>
          <w:sz w:val="18"/>
          <w:szCs w:val="18"/>
          <w:vertAlign w:val="superscript"/>
          <w:lang w:eastAsia="ru-RU"/>
        </w:rPr>
        <w:t>СПАРК</w:t>
      </w:r>
      <w:r w:rsidR="00D2765C" w:rsidRPr="00842549">
        <w:rPr>
          <w:rFonts w:ascii="Times New Roman" w:eastAsiaTheme="minorEastAsia" w:hAnsi="Times New Roman" w:cs="Times New Roman"/>
          <w:i/>
          <w:sz w:val="18"/>
          <w:szCs w:val="18"/>
          <w:vertAlign w:val="superscript"/>
          <w:lang w:eastAsia="ru-RU"/>
        </w:rPr>
        <w:t>-Интерфакс»</w:t>
      </w:r>
      <w:r w:rsidR="00F67F2F" w:rsidRPr="00842549">
        <w:rPr>
          <w:rFonts w:ascii="Times New Roman" w:eastAsiaTheme="minorEastAsia" w:hAnsi="Times New Roman" w:cs="Times New Roman"/>
          <w:i/>
          <w:sz w:val="18"/>
          <w:szCs w:val="18"/>
          <w:vertAlign w:val="superscript"/>
          <w:lang w:eastAsia="ru-RU"/>
        </w:rPr>
        <w:t xml:space="preserve"> </w:t>
      </w:r>
    </w:p>
    <w:p w14:paraId="7C004023" w14:textId="30A972B5" w:rsidR="00600DBD" w:rsidRPr="00F76EF4" w:rsidRDefault="00600DBD" w:rsidP="00887F1A"/>
    <w:p w14:paraId="6FA2441F" w14:textId="15275D98" w:rsidR="00600DBD" w:rsidRPr="00F76EF4" w:rsidRDefault="008F3297" w:rsidP="00887F1A">
      <w:hyperlink r:id="rId12" w:history="1">
        <w:r w:rsidR="00600DBD" w:rsidRPr="00F76EF4">
          <w:rPr>
            <w:rStyle w:val="a7"/>
          </w:rPr>
          <w:t>Полная версия исследования</w:t>
        </w:r>
      </w:hyperlink>
      <w:r w:rsidR="00600DBD" w:rsidRPr="00F76EF4">
        <w:t xml:space="preserve"> </w:t>
      </w:r>
      <w:r w:rsidR="00600DBD" w:rsidRPr="00F76EF4">
        <w:br/>
      </w:r>
    </w:p>
    <w:sectPr w:rsidR="00600DBD" w:rsidRPr="00F76EF4" w:rsidSect="00E42CF3">
      <w:pgSz w:w="11906" w:h="16838"/>
      <w:pgMar w:top="1134" w:right="42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53"/>
      </v:shape>
    </w:pict>
  </w:numPicBullet>
  <w:abstractNum w:abstractNumId="0" w15:restartNumberingAfterBreak="0">
    <w:nsid w:val="04F31F7F"/>
    <w:multiLevelType w:val="hybridMultilevel"/>
    <w:tmpl w:val="1DE89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7789"/>
    <w:multiLevelType w:val="hybridMultilevel"/>
    <w:tmpl w:val="1C46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DE7D30"/>
    <w:multiLevelType w:val="hybridMultilevel"/>
    <w:tmpl w:val="F698B5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57"/>
    <w:rsid w:val="00001DC5"/>
    <w:rsid w:val="000078B0"/>
    <w:rsid w:val="00021A82"/>
    <w:rsid w:val="00034EAE"/>
    <w:rsid w:val="00042619"/>
    <w:rsid w:val="000429B3"/>
    <w:rsid w:val="00043CFB"/>
    <w:rsid w:val="00046634"/>
    <w:rsid w:val="00056229"/>
    <w:rsid w:val="00057AD5"/>
    <w:rsid w:val="00073C19"/>
    <w:rsid w:val="000743B8"/>
    <w:rsid w:val="000758E3"/>
    <w:rsid w:val="000844A7"/>
    <w:rsid w:val="0008723F"/>
    <w:rsid w:val="0009027D"/>
    <w:rsid w:val="00092D5B"/>
    <w:rsid w:val="00097944"/>
    <w:rsid w:val="000A1D6D"/>
    <w:rsid w:val="000A25A2"/>
    <w:rsid w:val="000A3A29"/>
    <w:rsid w:val="000A6B9E"/>
    <w:rsid w:val="000B36C2"/>
    <w:rsid w:val="000D5D08"/>
    <w:rsid w:val="000D700B"/>
    <w:rsid w:val="000E5284"/>
    <w:rsid w:val="000F5A47"/>
    <w:rsid w:val="001019E4"/>
    <w:rsid w:val="00106097"/>
    <w:rsid w:val="00107DD6"/>
    <w:rsid w:val="00123518"/>
    <w:rsid w:val="001411D3"/>
    <w:rsid w:val="00151649"/>
    <w:rsid w:val="00164E3C"/>
    <w:rsid w:val="001736F2"/>
    <w:rsid w:val="00184A87"/>
    <w:rsid w:val="00191FA9"/>
    <w:rsid w:val="00192241"/>
    <w:rsid w:val="001944B2"/>
    <w:rsid w:val="001A1730"/>
    <w:rsid w:val="001A7CB7"/>
    <w:rsid w:val="001C06ED"/>
    <w:rsid w:val="001C42F5"/>
    <w:rsid w:val="001C7899"/>
    <w:rsid w:val="001D1CC3"/>
    <w:rsid w:val="001D2431"/>
    <w:rsid w:val="001E31C1"/>
    <w:rsid w:val="001E68F7"/>
    <w:rsid w:val="001F43FD"/>
    <w:rsid w:val="001F53E5"/>
    <w:rsid w:val="00206012"/>
    <w:rsid w:val="0020638A"/>
    <w:rsid w:val="002143F3"/>
    <w:rsid w:val="0023185D"/>
    <w:rsid w:val="00231A8B"/>
    <w:rsid w:val="00234E32"/>
    <w:rsid w:val="00236F40"/>
    <w:rsid w:val="00237279"/>
    <w:rsid w:val="002430BA"/>
    <w:rsid w:val="0025091E"/>
    <w:rsid w:val="00253AD4"/>
    <w:rsid w:val="002608BC"/>
    <w:rsid w:val="00260B75"/>
    <w:rsid w:val="00261E31"/>
    <w:rsid w:val="002648AF"/>
    <w:rsid w:val="00271410"/>
    <w:rsid w:val="00271ACA"/>
    <w:rsid w:val="002909CC"/>
    <w:rsid w:val="002A4F59"/>
    <w:rsid w:val="002B0651"/>
    <w:rsid w:val="002C2AB2"/>
    <w:rsid w:val="002D00F5"/>
    <w:rsid w:val="002D3AC6"/>
    <w:rsid w:val="002F0A7D"/>
    <w:rsid w:val="002F355F"/>
    <w:rsid w:val="002F5D53"/>
    <w:rsid w:val="003066F5"/>
    <w:rsid w:val="0031054C"/>
    <w:rsid w:val="00312765"/>
    <w:rsid w:val="00317167"/>
    <w:rsid w:val="00317D4A"/>
    <w:rsid w:val="00325BB5"/>
    <w:rsid w:val="00325E9E"/>
    <w:rsid w:val="0032692E"/>
    <w:rsid w:val="003354E3"/>
    <w:rsid w:val="0034070E"/>
    <w:rsid w:val="00342603"/>
    <w:rsid w:val="00360462"/>
    <w:rsid w:val="00365882"/>
    <w:rsid w:val="00370E17"/>
    <w:rsid w:val="00371C82"/>
    <w:rsid w:val="00374617"/>
    <w:rsid w:val="00380887"/>
    <w:rsid w:val="00381838"/>
    <w:rsid w:val="003906FA"/>
    <w:rsid w:val="00390A77"/>
    <w:rsid w:val="00396D7A"/>
    <w:rsid w:val="003A061C"/>
    <w:rsid w:val="003A7190"/>
    <w:rsid w:val="003B5BB8"/>
    <w:rsid w:val="003C2957"/>
    <w:rsid w:val="003C67E2"/>
    <w:rsid w:val="003D07E7"/>
    <w:rsid w:val="003D48F9"/>
    <w:rsid w:val="003E2F84"/>
    <w:rsid w:val="003F00CA"/>
    <w:rsid w:val="003F13D6"/>
    <w:rsid w:val="003F3BD5"/>
    <w:rsid w:val="00403EF5"/>
    <w:rsid w:val="00405710"/>
    <w:rsid w:val="0041067B"/>
    <w:rsid w:val="0042467C"/>
    <w:rsid w:val="00431280"/>
    <w:rsid w:val="0043753E"/>
    <w:rsid w:val="00440F38"/>
    <w:rsid w:val="00443408"/>
    <w:rsid w:val="004455ED"/>
    <w:rsid w:val="0045583D"/>
    <w:rsid w:val="0045712E"/>
    <w:rsid w:val="00473868"/>
    <w:rsid w:val="00473D6C"/>
    <w:rsid w:val="004766D0"/>
    <w:rsid w:val="00481913"/>
    <w:rsid w:val="0048671B"/>
    <w:rsid w:val="00497D2A"/>
    <w:rsid w:val="004A0885"/>
    <w:rsid w:val="004A191F"/>
    <w:rsid w:val="004A4C99"/>
    <w:rsid w:val="004A6DAC"/>
    <w:rsid w:val="004B17E9"/>
    <w:rsid w:val="004B41C9"/>
    <w:rsid w:val="004B4742"/>
    <w:rsid w:val="004C6941"/>
    <w:rsid w:val="004D4BE0"/>
    <w:rsid w:val="004D5166"/>
    <w:rsid w:val="004E6780"/>
    <w:rsid w:val="004F3A8B"/>
    <w:rsid w:val="004F5407"/>
    <w:rsid w:val="004F7F3C"/>
    <w:rsid w:val="00502FCF"/>
    <w:rsid w:val="00503CF9"/>
    <w:rsid w:val="00504D0D"/>
    <w:rsid w:val="005052DC"/>
    <w:rsid w:val="00514CDB"/>
    <w:rsid w:val="00516700"/>
    <w:rsid w:val="005217A5"/>
    <w:rsid w:val="00526118"/>
    <w:rsid w:val="00530A5C"/>
    <w:rsid w:val="005421B0"/>
    <w:rsid w:val="005469CB"/>
    <w:rsid w:val="00556F74"/>
    <w:rsid w:val="005962EB"/>
    <w:rsid w:val="005A7433"/>
    <w:rsid w:val="005A749D"/>
    <w:rsid w:val="005B62D7"/>
    <w:rsid w:val="005C6E2E"/>
    <w:rsid w:val="005D46E3"/>
    <w:rsid w:val="005E2A52"/>
    <w:rsid w:val="005E3FB6"/>
    <w:rsid w:val="005F01B0"/>
    <w:rsid w:val="005F3FD8"/>
    <w:rsid w:val="00600DBD"/>
    <w:rsid w:val="0060114E"/>
    <w:rsid w:val="0060796C"/>
    <w:rsid w:val="006149AC"/>
    <w:rsid w:val="006268BD"/>
    <w:rsid w:val="00635998"/>
    <w:rsid w:val="00636C35"/>
    <w:rsid w:val="00643C81"/>
    <w:rsid w:val="00655EBB"/>
    <w:rsid w:val="006569E7"/>
    <w:rsid w:val="00662F21"/>
    <w:rsid w:val="00680F10"/>
    <w:rsid w:val="00681C96"/>
    <w:rsid w:val="006901D0"/>
    <w:rsid w:val="00694406"/>
    <w:rsid w:val="006B044A"/>
    <w:rsid w:val="006B5DBA"/>
    <w:rsid w:val="006C2BA8"/>
    <w:rsid w:val="006C46C5"/>
    <w:rsid w:val="006C47AD"/>
    <w:rsid w:val="006C4AA4"/>
    <w:rsid w:val="006D3A78"/>
    <w:rsid w:val="006E6346"/>
    <w:rsid w:val="006F1E4C"/>
    <w:rsid w:val="006F2E3A"/>
    <w:rsid w:val="006F362F"/>
    <w:rsid w:val="006F54CF"/>
    <w:rsid w:val="00714DD4"/>
    <w:rsid w:val="007266F7"/>
    <w:rsid w:val="007405DD"/>
    <w:rsid w:val="00745904"/>
    <w:rsid w:val="00745995"/>
    <w:rsid w:val="00750778"/>
    <w:rsid w:val="00751192"/>
    <w:rsid w:val="00753200"/>
    <w:rsid w:val="00755129"/>
    <w:rsid w:val="00756C58"/>
    <w:rsid w:val="007577B5"/>
    <w:rsid w:val="00757E02"/>
    <w:rsid w:val="00763CB4"/>
    <w:rsid w:val="00767F88"/>
    <w:rsid w:val="0077182B"/>
    <w:rsid w:val="0077391A"/>
    <w:rsid w:val="007747FF"/>
    <w:rsid w:val="00774E9E"/>
    <w:rsid w:val="00782875"/>
    <w:rsid w:val="00783485"/>
    <w:rsid w:val="007875B7"/>
    <w:rsid w:val="00794ACB"/>
    <w:rsid w:val="00797651"/>
    <w:rsid w:val="007A23D4"/>
    <w:rsid w:val="007B210D"/>
    <w:rsid w:val="007C191A"/>
    <w:rsid w:val="007C4810"/>
    <w:rsid w:val="007D43B7"/>
    <w:rsid w:val="007D5CB6"/>
    <w:rsid w:val="007E162E"/>
    <w:rsid w:val="007E6C3A"/>
    <w:rsid w:val="007E78B1"/>
    <w:rsid w:val="007F1857"/>
    <w:rsid w:val="007F1EDD"/>
    <w:rsid w:val="00801177"/>
    <w:rsid w:val="008070BC"/>
    <w:rsid w:val="008235A3"/>
    <w:rsid w:val="008300A3"/>
    <w:rsid w:val="00830C58"/>
    <w:rsid w:val="00835ADE"/>
    <w:rsid w:val="00842549"/>
    <w:rsid w:val="008428A2"/>
    <w:rsid w:val="008458C5"/>
    <w:rsid w:val="00847554"/>
    <w:rsid w:val="00853C62"/>
    <w:rsid w:val="0086188D"/>
    <w:rsid w:val="0086474C"/>
    <w:rsid w:val="00864A84"/>
    <w:rsid w:val="008672C0"/>
    <w:rsid w:val="00867954"/>
    <w:rsid w:val="008705FC"/>
    <w:rsid w:val="00873875"/>
    <w:rsid w:val="0087631C"/>
    <w:rsid w:val="00880AFD"/>
    <w:rsid w:val="0088220B"/>
    <w:rsid w:val="00883DBB"/>
    <w:rsid w:val="0088631E"/>
    <w:rsid w:val="00887F1A"/>
    <w:rsid w:val="008B6721"/>
    <w:rsid w:val="008C085C"/>
    <w:rsid w:val="008C50F2"/>
    <w:rsid w:val="008C7984"/>
    <w:rsid w:val="008D43D2"/>
    <w:rsid w:val="008D49B4"/>
    <w:rsid w:val="008E01EF"/>
    <w:rsid w:val="008E5EB1"/>
    <w:rsid w:val="008F08AC"/>
    <w:rsid w:val="008F3297"/>
    <w:rsid w:val="00900D15"/>
    <w:rsid w:val="00913B8E"/>
    <w:rsid w:val="00920FA9"/>
    <w:rsid w:val="00925801"/>
    <w:rsid w:val="009267A3"/>
    <w:rsid w:val="0095221E"/>
    <w:rsid w:val="00970010"/>
    <w:rsid w:val="00970CF0"/>
    <w:rsid w:val="00974BB5"/>
    <w:rsid w:val="00976058"/>
    <w:rsid w:val="00976A34"/>
    <w:rsid w:val="009861F9"/>
    <w:rsid w:val="0098781C"/>
    <w:rsid w:val="009879BE"/>
    <w:rsid w:val="00995220"/>
    <w:rsid w:val="009A4EE9"/>
    <w:rsid w:val="009B3AE5"/>
    <w:rsid w:val="009C25B5"/>
    <w:rsid w:val="009D2B59"/>
    <w:rsid w:val="009D6456"/>
    <w:rsid w:val="009E57B5"/>
    <w:rsid w:val="00A025E0"/>
    <w:rsid w:val="00A041DB"/>
    <w:rsid w:val="00A14085"/>
    <w:rsid w:val="00A366C2"/>
    <w:rsid w:val="00A54FDE"/>
    <w:rsid w:val="00A5528F"/>
    <w:rsid w:val="00A55AAC"/>
    <w:rsid w:val="00A61677"/>
    <w:rsid w:val="00A67000"/>
    <w:rsid w:val="00A70165"/>
    <w:rsid w:val="00A74642"/>
    <w:rsid w:val="00A77702"/>
    <w:rsid w:val="00A77894"/>
    <w:rsid w:val="00A858ED"/>
    <w:rsid w:val="00A95D45"/>
    <w:rsid w:val="00A97E07"/>
    <w:rsid w:val="00AA36DA"/>
    <w:rsid w:val="00AA3E76"/>
    <w:rsid w:val="00AA4C6A"/>
    <w:rsid w:val="00AB0248"/>
    <w:rsid w:val="00AB346D"/>
    <w:rsid w:val="00AC45BB"/>
    <w:rsid w:val="00AE6673"/>
    <w:rsid w:val="00AF16F7"/>
    <w:rsid w:val="00AF1890"/>
    <w:rsid w:val="00AF5142"/>
    <w:rsid w:val="00B036EE"/>
    <w:rsid w:val="00B057A3"/>
    <w:rsid w:val="00B1537E"/>
    <w:rsid w:val="00B262B9"/>
    <w:rsid w:val="00B3180D"/>
    <w:rsid w:val="00B31FCF"/>
    <w:rsid w:val="00B47DC1"/>
    <w:rsid w:val="00B527D7"/>
    <w:rsid w:val="00B62F23"/>
    <w:rsid w:val="00B62F90"/>
    <w:rsid w:val="00B658A3"/>
    <w:rsid w:val="00B70B55"/>
    <w:rsid w:val="00B7487D"/>
    <w:rsid w:val="00B75529"/>
    <w:rsid w:val="00B845C4"/>
    <w:rsid w:val="00B8557B"/>
    <w:rsid w:val="00B85CB8"/>
    <w:rsid w:val="00B87CB8"/>
    <w:rsid w:val="00B903DB"/>
    <w:rsid w:val="00B923B6"/>
    <w:rsid w:val="00B931D4"/>
    <w:rsid w:val="00B94522"/>
    <w:rsid w:val="00B94E7D"/>
    <w:rsid w:val="00BA0C64"/>
    <w:rsid w:val="00BA2C58"/>
    <w:rsid w:val="00BA333C"/>
    <w:rsid w:val="00BA5F94"/>
    <w:rsid w:val="00BB35DF"/>
    <w:rsid w:val="00BC1B72"/>
    <w:rsid w:val="00BD6012"/>
    <w:rsid w:val="00BF2AED"/>
    <w:rsid w:val="00BF6122"/>
    <w:rsid w:val="00C10BCA"/>
    <w:rsid w:val="00C1604C"/>
    <w:rsid w:val="00C208B6"/>
    <w:rsid w:val="00C30827"/>
    <w:rsid w:val="00C42D83"/>
    <w:rsid w:val="00C430F4"/>
    <w:rsid w:val="00C47B97"/>
    <w:rsid w:val="00C52E48"/>
    <w:rsid w:val="00C563CB"/>
    <w:rsid w:val="00C64E37"/>
    <w:rsid w:val="00C66959"/>
    <w:rsid w:val="00C72531"/>
    <w:rsid w:val="00C8189D"/>
    <w:rsid w:val="00CA6F91"/>
    <w:rsid w:val="00CB6884"/>
    <w:rsid w:val="00CB78F4"/>
    <w:rsid w:val="00CC0561"/>
    <w:rsid w:val="00CE6A3B"/>
    <w:rsid w:val="00CE7FED"/>
    <w:rsid w:val="00D05748"/>
    <w:rsid w:val="00D07F75"/>
    <w:rsid w:val="00D12671"/>
    <w:rsid w:val="00D239ED"/>
    <w:rsid w:val="00D2765C"/>
    <w:rsid w:val="00D30426"/>
    <w:rsid w:val="00D32BE5"/>
    <w:rsid w:val="00D341AC"/>
    <w:rsid w:val="00D46701"/>
    <w:rsid w:val="00D6125E"/>
    <w:rsid w:val="00D6370A"/>
    <w:rsid w:val="00D7484D"/>
    <w:rsid w:val="00D80E8E"/>
    <w:rsid w:val="00D84B03"/>
    <w:rsid w:val="00DA0B4F"/>
    <w:rsid w:val="00DA39EA"/>
    <w:rsid w:val="00DB0D04"/>
    <w:rsid w:val="00DB3011"/>
    <w:rsid w:val="00DB51AE"/>
    <w:rsid w:val="00DB69BB"/>
    <w:rsid w:val="00DC442C"/>
    <w:rsid w:val="00DD23AD"/>
    <w:rsid w:val="00DD6173"/>
    <w:rsid w:val="00DF2445"/>
    <w:rsid w:val="00DF7D26"/>
    <w:rsid w:val="00E00DF6"/>
    <w:rsid w:val="00E05B8F"/>
    <w:rsid w:val="00E336A7"/>
    <w:rsid w:val="00E408EC"/>
    <w:rsid w:val="00E42CF3"/>
    <w:rsid w:val="00E473D8"/>
    <w:rsid w:val="00E671F6"/>
    <w:rsid w:val="00E701D9"/>
    <w:rsid w:val="00E743FF"/>
    <w:rsid w:val="00E77BDD"/>
    <w:rsid w:val="00E80004"/>
    <w:rsid w:val="00E80201"/>
    <w:rsid w:val="00E80FAF"/>
    <w:rsid w:val="00E81683"/>
    <w:rsid w:val="00E838A7"/>
    <w:rsid w:val="00E85923"/>
    <w:rsid w:val="00E85CCB"/>
    <w:rsid w:val="00EA0940"/>
    <w:rsid w:val="00EA1E75"/>
    <w:rsid w:val="00EA51E7"/>
    <w:rsid w:val="00EB161E"/>
    <w:rsid w:val="00EB5922"/>
    <w:rsid w:val="00EB5D04"/>
    <w:rsid w:val="00EE37AF"/>
    <w:rsid w:val="00EF1182"/>
    <w:rsid w:val="00EF6C61"/>
    <w:rsid w:val="00EF7734"/>
    <w:rsid w:val="00F05D64"/>
    <w:rsid w:val="00F245FE"/>
    <w:rsid w:val="00F25782"/>
    <w:rsid w:val="00F34DF4"/>
    <w:rsid w:val="00F526C5"/>
    <w:rsid w:val="00F650FD"/>
    <w:rsid w:val="00F67F2F"/>
    <w:rsid w:val="00F71393"/>
    <w:rsid w:val="00F76EF4"/>
    <w:rsid w:val="00F843C3"/>
    <w:rsid w:val="00F86F2B"/>
    <w:rsid w:val="00F939F1"/>
    <w:rsid w:val="00FA0F5D"/>
    <w:rsid w:val="00FA4D9E"/>
    <w:rsid w:val="00FA7796"/>
    <w:rsid w:val="00FA7D15"/>
    <w:rsid w:val="00FB0E0B"/>
    <w:rsid w:val="00FB155E"/>
    <w:rsid w:val="00FB637B"/>
    <w:rsid w:val="00FB6847"/>
    <w:rsid w:val="00FD1182"/>
    <w:rsid w:val="00FD16FF"/>
    <w:rsid w:val="00FD3CC1"/>
    <w:rsid w:val="00FD7D06"/>
    <w:rsid w:val="00FE3670"/>
    <w:rsid w:val="00FE5CB3"/>
    <w:rsid w:val="00FE5F87"/>
    <w:rsid w:val="00FE70F4"/>
    <w:rsid w:val="00FE7ED4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F818"/>
  <w15:docId w15:val="{4A0E2D14-A038-487F-9465-15F92BF7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85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1857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F1857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F1857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F1857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F1857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85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F185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F185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F185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F185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F185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F185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1857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F1857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F1857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7F185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1857"/>
    <w:rPr>
      <w:color w:val="800080"/>
      <w:u w:val="single"/>
    </w:rPr>
  </w:style>
  <w:style w:type="paragraph" w:customStyle="1" w:styleId="xl72">
    <w:name w:val="xl72"/>
    <w:basedOn w:val="a"/>
    <w:rsid w:val="007F18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F18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185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F185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F1857"/>
    <w:pPr>
      <w:ind w:left="720"/>
      <w:contextualSpacing/>
    </w:pPr>
    <w:rPr>
      <w:rFonts w:eastAsiaTheme="minorEastAsia" w:cs="Times New Roman"/>
      <w:lang w:eastAsia="ru-RU"/>
    </w:rPr>
  </w:style>
  <w:style w:type="table" w:styleId="ac">
    <w:name w:val="Table Grid"/>
    <w:basedOn w:val="a1"/>
    <w:uiPriority w:val="59"/>
    <w:rsid w:val="007F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85CCB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403EF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03EF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03EF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3E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03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fta-inves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hyperlink" Target="https://spark-interfax.ru/articles/gazeli-v-preddverii-sankcionnogo-stres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olimp.b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r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uvm23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78DD-537D-484D-B5E3-725A63A0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3068</Words>
  <Characters>17493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Герасимов</dc:creator>
  <cp:lastModifiedBy>Маргарита Жачкова</cp:lastModifiedBy>
  <cp:revision>8</cp:revision>
  <cp:lastPrinted>2019-11-19T13:25:00Z</cp:lastPrinted>
  <dcterms:created xsi:type="dcterms:W3CDTF">2022-07-06T09:56:00Z</dcterms:created>
  <dcterms:modified xsi:type="dcterms:W3CDTF">2022-07-07T06:37:00Z</dcterms:modified>
</cp:coreProperties>
</file>