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EF2F" w14:textId="77777777" w:rsidR="00BF5BED" w:rsidRDefault="0045118E" w:rsidP="00350EEE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  <w:r w:rsidRPr="00CF65DB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 xml:space="preserve">ЗАЯВЛЕНИЕ российских неправительственных организаций (НПО) </w:t>
      </w:r>
    </w:p>
    <w:p w14:paraId="190443CB" w14:textId="5CA846F4" w:rsidR="008131A0" w:rsidRPr="00CF65DB" w:rsidRDefault="0045118E" w:rsidP="00BF5BED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CF65DB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к КС30 — конференции сторон РКИК ООН в Белене, Бразилия</w:t>
      </w:r>
    </w:p>
    <w:p w14:paraId="1238D511" w14:textId="19C1013D" w:rsidR="0045118E" w:rsidRPr="00CF65DB" w:rsidRDefault="0045118E" w:rsidP="001F685E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FF0000"/>
          <w:sz w:val="24"/>
          <w:szCs w:val="24"/>
          <w:lang w:eastAsia="ru-RU"/>
        </w:rPr>
      </w:pPr>
    </w:p>
    <w:p w14:paraId="3F7DFC10" w14:textId="77777777" w:rsidR="00CF65DB" w:rsidRPr="00CF65DB" w:rsidRDefault="00CF65DB" w:rsidP="00CF65DB">
      <w:pPr>
        <w:pStyle w:val="a9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Российские НПО подчеркивают, что на основании научных данных, включающих последние доклады МГЭИК (IPCC), 3-й оценочный доклад Росгидромета и доклады других государств, подавляющее большинство стран признали доминирующую роль человека в современном изменении климата, а также необходимость срочных действий как по радикальному сокращению выбросов парниковых газов (ПГ), так и адаптации к необратимым последствиям изменения климата.</w:t>
      </w:r>
    </w:p>
    <w:p w14:paraId="1F98ECC7" w14:textId="2663032F" w:rsidR="00CF65DB" w:rsidRPr="00CF65DB" w:rsidRDefault="00CF65DB" w:rsidP="00CF65DB">
      <w:pPr>
        <w:pStyle w:val="a9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Обещаний и договоренностей стран критически недостаточно. Несмотря на заявленное намерение крупнейших стран эмитентов достичь углеродной нейтральности к 2050-2060 годам, эти заявления не подкреплены конкретными действиями. Мир идёт по траектории повышения глобальной температуры на 3-3,5</w:t>
      </w:r>
      <w:r w:rsidRPr="00CF65DB">
        <w:rPr>
          <w:rFonts w:ascii="Cambria Math" w:hAnsi="Cambria Math" w:cs="Cambria Math"/>
          <w:color w:val="222222"/>
        </w:rPr>
        <w:t>℃</w:t>
      </w:r>
      <w:r w:rsidRPr="00CF65DB">
        <w:rPr>
          <w:rFonts w:asciiTheme="minorHAnsi" w:hAnsiTheme="minorHAnsi" w:cstheme="minorHAnsi"/>
          <w:color w:val="222222"/>
        </w:rPr>
        <w:t> к концу XXI (от уровня XIX века), причем к 2030 г. ожидается среднее превышение на 1,5 градуса. Необходимо обеспечить диалог и принятие решений по ускорению снижения выбросов парниковых газов при участии всех заинтересованных сторон, включая представителей гражданского общества и уязвимых групп.</w:t>
      </w:r>
    </w:p>
    <w:p w14:paraId="2DA6C4CD" w14:textId="4F3AD8B8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b/>
          <w:bCs/>
          <w:color w:val="222222"/>
        </w:rPr>
        <w:t>Мы призываем страны-участницы Конференции сторон РКИК ООН к немедленным действиям:</w:t>
      </w:r>
    </w:p>
    <w:p w14:paraId="24A9F7D2" w14:textId="14DDED62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b/>
          <w:bCs/>
          <w:color w:val="222222"/>
        </w:rPr>
        <w:t>1.По финансовой цели Парижского соглашения (ПС)</w:t>
      </w:r>
    </w:p>
    <w:p w14:paraId="37F85E08" w14:textId="160BCD7A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b/>
          <w:bCs/>
          <w:color w:val="222222"/>
        </w:rPr>
        <w:t> </w:t>
      </w:r>
      <w:r w:rsidRPr="00CF65DB">
        <w:rPr>
          <w:rFonts w:asciiTheme="minorHAnsi" w:hAnsiTheme="minorHAnsi" w:cstheme="minorHAnsi"/>
          <w:color w:val="222222"/>
        </w:rPr>
        <w:t>o   КС 30 — первая конференция десятилетнего цикла реализации новой финансовой цели ПС. Общая сумма климатического финансирования Глобального Юга (развивающиеся страны), должна достичь $1,3 трлн в год. Из них как минимум $300 млрд должны составить средства Глобального Севера (страны с высоким уровнем дохода), где главную роль должно играть государственное финансирование. При этом решить глобальные климатические задачи возможно только вместе с активными действиями развивающихся стран. </w:t>
      </w:r>
    </w:p>
    <w:p w14:paraId="4E3C3B83" w14:textId="77777777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o   На КС 30 важно заложить принципы справедливого распределения средств и участия общества. Финансы должны достигать местных сообществ, коренных народов, женщин, молодёжи и НПО.</w:t>
      </w:r>
    </w:p>
    <w:p w14:paraId="323ECD0C" w14:textId="21E18388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o   Реализация программ корпоративной социальной ответственности крупного бизнеса, привлечение частных и инновационных средств, (отчисления от трансакций, налоги на богатство и роскошь, инвестиционные схемы и т.п.) должно не противоречить, а содействовать решению социально-экологических проблем.</w:t>
      </w:r>
    </w:p>
    <w:p w14:paraId="5ECCC38B" w14:textId="637FCC66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 o    Доли грантов и льготных займов должны быть, как минимум, равными, так как большинству слабых стран нужны именно гранты на укрепление систем здравоохранения, водное и сельское хозяйство. При этом коммерческие займы не должны учитываться в финансировании.</w:t>
      </w:r>
    </w:p>
    <w:p w14:paraId="113E9F61" w14:textId="13A4AE5A" w:rsid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o    Статья 6.8 Парижского соглашения — нерыночное международное сотрудничество — должна стать важным дополнительным инструментом объединения финансов, инноваций и знаний</w:t>
      </w:r>
      <w:r>
        <w:rPr>
          <w:rFonts w:asciiTheme="minorHAnsi" w:hAnsiTheme="minorHAnsi" w:cstheme="minorHAnsi"/>
          <w:color w:val="222222"/>
        </w:rPr>
        <w:t>.</w:t>
      </w:r>
    </w:p>
    <w:p w14:paraId="2FC17AA1" w14:textId="77777777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  <w:sz w:val="4"/>
          <w:szCs w:val="4"/>
        </w:rPr>
      </w:pPr>
    </w:p>
    <w:p w14:paraId="656062B4" w14:textId="51F5DFDE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b/>
          <w:bCs/>
          <w:color w:val="222222"/>
        </w:rPr>
        <w:t> 2.По вопросам адаптации, потерь и ущерба</w:t>
      </w:r>
    </w:p>
    <w:p w14:paraId="427E6FBE" w14:textId="207ADEF6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b/>
          <w:bCs/>
          <w:color w:val="222222"/>
        </w:rPr>
        <w:t> </w:t>
      </w: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Проводить планирование проектов природопользования и адаптации исключительно на актуальных, насколько возможно «свежих» данных о состоянии природных экосистем.</w:t>
      </w:r>
    </w:p>
    <w:p w14:paraId="780DF28B" w14:textId="24C84DB3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 </w:t>
      </w: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 xml:space="preserve">   Обеспечить приоритетное развитие и финансирование проектов, направленных на сохранение и восстановление естественных экосистем в целях адаптации к изменению климата, сохранение биоразнообразия, защиты здоровья населения и традиционного образа жизни коренных народов и местных жителей. Ограничить рубки и хозяйственное освоение </w:t>
      </w:r>
      <w:r w:rsidRPr="00CF65DB">
        <w:rPr>
          <w:rFonts w:asciiTheme="minorHAnsi" w:hAnsiTheme="minorHAnsi" w:cstheme="minorHAnsi"/>
          <w:color w:val="222222"/>
        </w:rPr>
        <w:lastRenderedPageBreak/>
        <w:t>лесов ранее освоенными территориями используя на них цикличное климатически оптимизированное лесное хозяйство.</w:t>
      </w:r>
    </w:p>
    <w:p w14:paraId="1636856B" w14:textId="14E33E88" w:rsid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Принять действенную систему индикаторов проектов по адаптации к изменениям климата, обеспечивающую оценку рисков и ущербов, как нынешних, так и потенциальных.</w:t>
      </w:r>
    </w:p>
    <w:p w14:paraId="6CE2A273" w14:textId="77777777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  <w:sz w:val="2"/>
          <w:szCs w:val="2"/>
        </w:rPr>
      </w:pPr>
    </w:p>
    <w:p w14:paraId="2629AD38" w14:textId="0C913D20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 </w:t>
      </w:r>
      <w:r w:rsidRPr="00CF65DB">
        <w:rPr>
          <w:rFonts w:asciiTheme="minorHAnsi" w:hAnsiTheme="minorHAnsi" w:cstheme="minorHAnsi"/>
          <w:b/>
          <w:bCs/>
          <w:color w:val="222222"/>
        </w:rPr>
        <w:t>3.По вопросам определяемых на национальном уровне вкладов</w:t>
      </w:r>
    </w:p>
    <w:p w14:paraId="27E70607" w14:textId="77777777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Обеспечить публичный мониторинг и равный доступ к данным.</w:t>
      </w:r>
    </w:p>
    <w:p w14:paraId="5877BAD0" w14:textId="77777777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o   Странам усилить цели по снижению выбросов парниковых газов (ПГ) на 2035-2040 годы, обновить определяемые на национальном уровне вклады (ОНУВ), включить в них механизмы справедливого перехода и отказа от ископаемого топлива, разработать скоординированные на международном уровне комплексные планы их достижения с учетом всех источников антропогенных выбросов. Эти действия должны максимально возможным образом приближать к достижению целей климатического соглашения по выбросам ПГ.</w:t>
      </w:r>
    </w:p>
    <w:p w14:paraId="25D17D92" w14:textId="454057C0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 </w:t>
      </w: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Обеспечить отказ от угля к 2030 г. развитым странам и прочим к 2040 г. Выйти на максимум добычи угля к 2028 г. Отказаться с 2028 г. от субсидирования любых новых проектов по добыче и разведке месторождений ископаемого топлива.</w:t>
      </w:r>
    </w:p>
    <w:p w14:paraId="3A159877" w14:textId="507331AC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 </w:t>
      </w: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Усилить меры по сокращению выбросов метана и закиси азота в сельском хозяйстве, прежде всего животноводстве. На государственном уровне разработать планы по переходу к устойчивым системам производства и потребления белка, включая увеличение доли растительных продуктов в рационах и развитие растительных альтернатив. Преобразование продовольственных систем должно стать частью усилий по достижению целей Парижского соглашения.</w:t>
      </w:r>
    </w:p>
    <w:p w14:paraId="772D7147" w14:textId="26B9B13A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 xml:space="preserve">   Поставить в приоритет реальные меры по сокращению ПГ, таких как повышение энергоэффективности и развитие возобновляемых источников энергии (ВИЭ) по сравнению с мерами улавливания и хранения углерода (CCS, CCUS и CDR включая BECCS) и перехода на “промежуточные” виды ископаемого топлива (ИТ). Развитие технологий улавливания углерода и перехода на промежуточные виды ИТ не должно быть альтернативой действиям по прямому снижению выбросов парниковых газов и отказа от </w:t>
      </w:r>
      <w:r>
        <w:rPr>
          <w:rFonts w:asciiTheme="minorHAnsi" w:hAnsiTheme="minorHAnsi" w:cstheme="minorHAnsi"/>
          <w:color w:val="222222"/>
        </w:rPr>
        <w:t>ископаемого топлива</w:t>
      </w:r>
      <w:r w:rsidRPr="00CF65DB">
        <w:rPr>
          <w:rFonts w:asciiTheme="minorHAnsi" w:hAnsiTheme="minorHAnsi" w:cstheme="minorHAnsi"/>
          <w:color w:val="222222"/>
        </w:rPr>
        <w:t>.</w:t>
      </w:r>
    </w:p>
    <w:p w14:paraId="295B28E9" w14:textId="3CD0CB2C" w:rsidR="00CF65DB" w:rsidRPr="00CF65DB" w:rsidRDefault="00CF65DB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Обеспечить поддержку проектам с двойным и тройным эффектом, которые одновременно способствую и сокращению выбросов ПГ, и адаптации, а также могут приносить и значительные сопутствующие выгоды для здоровья и качества жизни населения. </w:t>
      </w:r>
    </w:p>
    <w:p w14:paraId="290F540F" w14:textId="3CD61EE2" w:rsidR="00CF65DB" w:rsidRDefault="00CF65DB" w:rsidP="001F685E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 xml:space="preserve">   Разработать и утвердить </w:t>
      </w:r>
      <w:proofErr w:type="spellStart"/>
      <w:r w:rsidRPr="00CF65DB">
        <w:rPr>
          <w:rFonts w:asciiTheme="minorHAnsi" w:hAnsiTheme="minorHAnsi" w:cstheme="minorHAnsi"/>
          <w:color w:val="222222"/>
        </w:rPr>
        <w:t>Bele</w:t>
      </w:r>
      <w:proofErr w:type="spellEnd"/>
      <w:r w:rsidR="001F685E">
        <w:rPr>
          <w:rFonts w:asciiTheme="minorHAnsi" w:hAnsiTheme="minorHAnsi" w:cstheme="minorHAnsi"/>
          <w:color w:val="222222"/>
          <w:lang w:val="en-US"/>
        </w:rPr>
        <w:t>n</w:t>
      </w:r>
      <w:r w:rsidRPr="00CF65DB">
        <w:rPr>
          <w:rFonts w:asciiTheme="minorHAnsi" w:hAnsiTheme="minorHAnsi" w:cstheme="minorHAnsi"/>
          <w:color w:val="222222"/>
        </w:rPr>
        <w:t xml:space="preserve"> Action </w:t>
      </w:r>
      <w:proofErr w:type="spellStart"/>
      <w:r w:rsidRPr="00CF65DB">
        <w:rPr>
          <w:rFonts w:asciiTheme="minorHAnsi" w:hAnsiTheme="minorHAnsi" w:cstheme="minorHAnsi"/>
          <w:color w:val="222222"/>
        </w:rPr>
        <w:t>Mechanism</w:t>
      </w:r>
      <w:proofErr w:type="spellEnd"/>
      <w:r w:rsidRPr="00CF65DB">
        <w:rPr>
          <w:rFonts w:asciiTheme="minorHAnsi" w:hAnsiTheme="minorHAnsi" w:cstheme="minorHAnsi"/>
          <w:color w:val="222222"/>
        </w:rPr>
        <w:t xml:space="preserve"> (BAM) — юридически закреплённый механизм справедливого перехода с социальной защитой и созданием зелёных рабочих мест. Странам необходимо отказаться от субсидирования ископаемых видов топлива, разработать дорожные карты отказа от них и перенаправить ресурсы на возобновляемую энергетику и </w:t>
      </w:r>
      <w:proofErr w:type="spellStart"/>
      <w:r w:rsidRPr="00CF65DB">
        <w:rPr>
          <w:rFonts w:asciiTheme="minorHAnsi" w:hAnsiTheme="minorHAnsi" w:cstheme="minorHAnsi"/>
          <w:color w:val="222222"/>
        </w:rPr>
        <w:t>низкоуглеродные</w:t>
      </w:r>
      <w:proofErr w:type="spellEnd"/>
      <w:r w:rsidRPr="00CF65DB">
        <w:rPr>
          <w:rFonts w:asciiTheme="minorHAnsi" w:hAnsiTheme="minorHAnsi" w:cstheme="minorHAnsi"/>
          <w:color w:val="222222"/>
        </w:rPr>
        <w:t xml:space="preserve"> инновации.</w:t>
      </w:r>
    </w:p>
    <w:p w14:paraId="7D6BABB9" w14:textId="77777777" w:rsidR="001F685E" w:rsidRPr="001F685E" w:rsidRDefault="001F685E" w:rsidP="001F685E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  <w:sz w:val="2"/>
          <w:szCs w:val="2"/>
        </w:rPr>
      </w:pPr>
    </w:p>
    <w:p w14:paraId="63F5B87B" w14:textId="0AA4E350" w:rsidR="00CF65DB" w:rsidRPr="00CF65DB" w:rsidRDefault="00CF65DB" w:rsidP="001F685E">
      <w:pPr>
        <w:pStyle w:val="a9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 </w:t>
      </w:r>
      <w:r w:rsidRPr="00CF65DB">
        <w:rPr>
          <w:rFonts w:asciiTheme="minorHAnsi" w:hAnsiTheme="minorHAnsi" w:cstheme="minorHAnsi"/>
          <w:b/>
          <w:bCs/>
          <w:color w:val="222222"/>
        </w:rPr>
        <w:t>4.По вопросам международного сотрудничества по снижению выбросов с помощью рыночных методов (статья 6 ПС)</w:t>
      </w:r>
    </w:p>
    <w:p w14:paraId="48CDD103" w14:textId="652A7F5B" w:rsidR="00CF65DB" w:rsidRPr="00CF65DB" w:rsidRDefault="00CF65DB" w:rsidP="001F685E">
      <w:pPr>
        <w:pStyle w:val="a9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b/>
          <w:bCs/>
          <w:color w:val="222222"/>
        </w:rPr>
        <w:t> </w:t>
      </w:r>
      <w:r w:rsidRPr="00CF65DB">
        <w:rPr>
          <w:rFonts w:asciiTheme="minorHAnsi" w:hAnsiTheme="minorHAnsi" w:cstheme="minorHAnsi"/>
          <w:color w:val="222222"/>
        </w:rPr>
        <w:t xml:space="preserve">o   Международные климатические проекты, и действия в целом, должны быть прозрачны, приниматься с учетом мнения общественности </w:t>
      </w:r>
      <w:proofErr w:type="gramStart"/>
      <w:r w:rsidRPr="00CF65DB">
        <w:rPr>
          <w:rFonts w:asciiTheme="minorHAnsi" w:hAnsiTheme="minorHAnsi" w:cstheme="minorHAnsi"/>
          <w:color w:val="222222"/>
        </w:rPr>
        <w:t xml:space="preserve">и </w:t>
      </w:r>
      <w:r w:rsidR="001F685E">
        <w:rPr>
          <w:rFonts w:asciiTheme="minorHAnsi" w:hAnsiTheme="minorHAnsi" w:cstheme="minorHAnsi"/>
          <w:color w:val="222222"/>
        </w:rPr>
        <w:t>Ц</w:t>
      </w:r>
      <w:r w:rsidRPr="00CF65DB">
        <w:rPr>
          <w:rFonts w:asciiTheme="minorHAnsi" w:hAnsiTheme="minorHAnsi" w:cstheme="minorHAnsi"/>
          <w:color w:val="222222"/>
        </w:rPr>
        <w:t>елей</w:t>
      </w:r>
      <w:proofErr w:type="gramEnd"/>
      <w:r w:rsidRPr="00CF65DB">
        <w:rPr>
          <w:rFonts w:asciiTheme="minorHAnsi" w:hAnsiTheme="minorHAnsi" w:cstheme="minorHAnsi"/>
          <w:color w:val="222222"/>
        </w:rPr>
        <w:t xml:space="preserve"> устойчивого развития, стимулировать использование ВИЭ и других передовых технологий. Необходимо исключить «двойной учет»: обеспечить, чтобы сокращение выбросов было засчитано только один раз. </w:t>
      </w:r>
    </w:p>
    <w:p w14:paraId="271750A1" w14:textId="77777777" w:rsidR="001F685E" w:rsidRDefault="00CF65DB" w:rsidP="001F685E">
      <w:pPr>
        <w:pStyle w:val="a9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 </w:t>
      </w: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 xml:space="preserve">   Соблюдать единые принципы, исключающие проекты на основе ископаемого топлива, технологий ядерной и крупной речной плотинной гидроэнергетики, сжигания твердых коммунальных отходов (в том числе заводов по так называемой термической обработке </w:t>
      </w:r>
      <w:r w:rsidRPr="00CF65DB">
        <w:rPr>
          <w:rFonts w:asciiTheme="minorHAnsi" w:hAnsiTheme="minorHAnsi" w:cstheme="minorHAnsi"/>
          <w:color w:val="222222"/>
        </w:rPr>
        <w:lastRenderedPageBreak/>
        <w:t>твердых отходов), а также водородного топлива, произведенного с использованием энергии АЭС и сжигания ископаемого топлива.</w:t>
      </w:r>
    </w:p>
    <w:p w14:paraId="5D0103C9" w14:textId="77777777" w:rsidR="001F685E" w:rsidRPr="001F685E" w:rsidRDefault="001F685E" w:rsidP="001F685E">
      <w:pPr>
        <w:pStyle w:val="a9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222222"/>
          <w:sz w:val="2"/>
          <w:szCs w:val="2"/>
        </w:rPr>
      </w:pPr>
    </w:p>
    <w:p w14:paraId="121295FC" w14:textId="7AC119A0" w:rsidR="00CF65DB" w:rsidRPr="00CF65DB" w:rsidRDefault="00CF65DB" w:rsidP="001F685E">
      <w:pPr>
        <w:pStyle w:val="a9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b/>
          <w:bCs/>
          <w:color w:val="222222"/>
        </w:rPr>
        <w:t xml:space="preserve">5.По </w:t>
      </w:r>
      <w:proofErr w:type="spellStart"/>
      <w:r w:rsidRPr="00CF65DB">
        <w:rPr>
          <w:rFonts w:asciiTheme="minorHAnsi" w:hAnsiTheme="minorHAnsi" w:cstheme="minorHAnsi"/>
          <w:b/>
          <w:bCs/>
          <w:color w:val="222222"/>
        </w:rPr>
        <w:t>природно</w:t>
      </w:r>
      <w:proofErr w:type="spellEnd"/>
      <w:r w:rsidRPr="00CF65DB">
        <w:rPr>
          <w:rFonts w:asciiTheme="minorHAnsi" w:hAnsiTheme="minorHAnsi" w:cstheme="minorHAnsi"/>
          <w:b/>
          <w:bCs/>
          <w:color w:val="222222"/>
        </w:rPr>
        <w:t>–климатическим проектам</w:t>
      </w:r>
    </w:p>
    <w:p w14:paraId="0DBBEED2" w14:textId="277D629D" w:rsidR="00CF65DB" w:rsidRPr="00CF65DB" w:rsidRDefault="00CF65DB" w:rsidP="001F685E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 xml:space="preserve">   Развивать природно-климатические проекты, способствующие снижению выбросов ПГ и адаптации (сохранение естественных природных экосистем и повышение потенциала освоенных природных территорий; сохранение </w:t>
      </w:r>
      <w:proofErr w:type="spellStart"/>
      <w:r w:rsidRPr="00CF65DB">
        <w:rPr>
          <w:rFonts w:asciiTheme="minorHAnsi" w:hAnsiTheme="minorHAnsi" w:cstheme="minorHAnsi"/>
          <w:color w:val="222222"/>
        </w:rPr>
        <w:t>малонарушенных</w:t>
      </w:r>
      <w:proofErr w:type="spellEnd"/>
      <w:r w:rsidRPr="00CF65DB">
        <w:rPr>
          <w:rFonts w:asciiTheme="minorHAnsi" w:hAnsiTheme="minorHAnsi" w:cstheme="minorHAnsi"/>
          <w:color w:val="222222"/>
        </w:rPr>
        <w:t xml:space="preserve"> лесов, обводнение осушенных торфяников, водных и водно-болотных экосистем, мер защитных лесонасаждений, климатически оптимизированного лесного хозяйства (</w:t>
      </w:r>
      <w:proofErr w:type="spellStart"/>
      <w:r w:rsidRPr="00CF65DB">
        <w:rPr>
          <w:rFonts w:asciiTheme="minorHAnsi" w:hAnsiTheme="minorHAnsi" w:cstheme="minorHAnsi"/>
          <w:color w:val="222222"/>
        </w:rPr>
        <w:t>climate</w:t>
      </w:r>
      <w:proofErr w:type="spellEnd"/>
      <w:r w:rsidRPr="00CF65D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CF65DB">
        <w:rPr>
          <w:rFonts w:asciiTheme="minorHAnsi" w:hAnsiTheme="minorHAnsi" w:cstheme="minorHAnsi"/>
          <w:color w:val="222222"/>
        </w:rPr>
        <w:t>smart</w:t>
      </w:r>
      <w:proofErr w:type="spellEnd"/>
      <w:r w:rsidRPr="00CF65DB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CF65DB">
        <w:rPr>
          <w:rFonts w:asciiTheme="minorHAnsi" w:hAnsiTheme="minorHAnsi" w:cstheme="minorHAnsi"/>
          <w:color w:val="222222"/>
        </w:rPr>
        <w:t>forestry</w:t>
      </w:r>
      <w:proofErr w:type="spellEnd"/>
      <w:r w:rsidRPr="00CF65DB">
        <w:rPr>
          <w:rFonts w:asciiTheme="minorHAnsi" w:hAnsiTheme="minorHAnsi" w:cstheme="minorHAnsi"/>
          <w:color w:val="222222"/>
        </w:rPr>
        <w:t xml:space="preserve">), улучшенного управления пастбищами, </w:t>
      </w:r>
      <w:proofErr w:type="spellStart"/>
      <w:r w:rsidRPr="00CF65DB">
        <w:rPr>
          <w:rFonts w:asciiTheme="minorHAnsi" w:hAnsiTheme="minorHAnsi" w:cstheme="minorHAnsi"/>
          <w:color w:val="222222"/>
        </w:rPr>
        <w:t>агролесоводства</w:t>
      </w:r>
      <w:proofErr w:type="spellEnd"/>
      <w:r w:rsidRPr="00CF65DB">
        <w:rPr>
          <w:rFonts w:asciiTheme="minorHAnsi" w:hAnsiTheme="minorHAnsi" w:cstheme="minorHAnsi"/>
          <w:color w:val="222222"/>
        </w:rPr>
        <w:t>.</w:t>
      </w:r>
    </w:p>
    <w:p w14:paraId="229F2515" w14:textId="13A1210B" w:rsidR="00CF65DB" w:rsidRPr="00CF65DB" w:rsidRDefault="00CF65DB" w:rsidP="001F685E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Учитывать вклад природных водных ресурсов в энергетический переход в оценки МГЭИК. Водные объекты остаются наиболее уязвимыми к климатическим изменениям. Поймы рек, крупные озера и водно-болотные угодья выполняют важную функцию связывания углерода и стабилизации климата. Необходимо продвигать проекты охране и реабилитации этих экосистем.</w:t>
      </w:r>
    </w:p>
    <w:p w14:paraId="164191F6" w14:textId="09EAC92B" w:rsidR="00CF65DB" w:rsidRPr="00CF65DB" w:rsidRDefault="00CF65DB" w:rsidP="001F685E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Развивать климатически устойчивые сельскохозяйственные практики, направленные на снижение зависимости от интенсивного животноводства, сокращение выбросов и сохранение почвенного углерода, поддерживать восстановление деградированных пастбищ.</w:t>
      </w:r>
    </w:p>
    <w:p w14:paraId="69190D80" w14:textId="75A23B92" w:rsidR="00CF65DB" w:rsidRPr="00CF65DB" w:rsidRDefault="00CF65DB" w:rsidP="001F685E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  </w:t>
      </w:r>
      <w:r w:rsidR="001F685E">
        <w:rPr>
          <w:rFonts w:asciiTheme="minorHAnsi" w:hAnsiTheme="minorHAnsi" w:cstheme="minorHAnsi"/>
          <w:color w:val="222222"/>
        </w:rPr>
        <w:t>Рассматривать</w:t>
      </w:r>
      <w:proofErr w:type="gramEnd"/>
      <w:r w:rsidR="001F685E">
        <w:rPr>
          <w:rFonts w:asciiTheme="minorHAnsi" w:hAnsiTheme="minorHAnsi" w:cstheme="minorHAnsi"/>
          <w:color w:val="222222"/>
        </w:rPr>
        <w:t xml:space="preserve"> ф</w:t>
      </w:r>
      <w:r w:rsidRPr="00CF65DB">
        <w:rPr>
          <w:rFonts w:asciiTheme="minorHAnsi" w:hAnsiTheme="minorHAnsi" w:cstheme="minorHAnsi"/>
          <w:color w:val="222222"/>
        </w:rPr>
        <w:t>инансирование проектов с природными решениями на основе грантов и государственных средств как дополнение, а не как альтернатив</w:t>
      </w:r>
      <w:r w:rsidR="001F685E">
        <w:rPr>
          <w:rFonts w:asciiTheme="minorHAnsi" w:hAnsiTheme="minorHAnsi" w:cstheme="minorHAnsi"/>
          <w:color w:val="222222"/>
        </w:rPr>
        <w:t>у</w:t>
      </w:r>
      <w:r w:rsidRPr="00CF65DB">
        <w:rPr>
          <w:rFonts w:asciiTheme="minorHAnsi" w:hAnsiTheme="minorHAnsi" w:cstheme="minorHAnsi"/>
          <w:color w:val="222222"/>
        </w:rPr>
        <w:t xml:space="preserve"> прямым мерам в энергетике для снижения выбросов.</w:t>
      </w:r>
    </w:p>
    <w:p w14:paraId="6F086311" w14:textId="47DA35DE" w:rsidR="00CF65DB" w:rsidRPr="00CF65DB" w:rsidRDefault="00CF65DB" w:rsidP="001F685E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В связи с обострением проблемы природных и, в частности, лесных пожаров, особенно в лесах бореальной и умеренной климатических зон, необходимо совершенствование международной системы мониторинга площадей этих пожаров, опирающейся на данные удаленного, в том числе космического наблюдения. Необходима разработка систем оперативного обнаружения и тушения пожаров, в том числе на основе беспилотных систем. Данные должны быть положены в основу признанных на международном уровне оценок площадей лесных пожаров и их влияния на климаторегулирующую роль бореальных и умеренных лесов.</w:t>
      </w:r>
    </w:p>
    <w:p w14:paraId="7698672A" w14:textId="7896549E" w:rsidR="00CF65DB" w:rsidRDefault="00CF65DB" w:rsidP="001F685E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 w:rsidRPr="00CF65DB">
        <w:rPr>
          <w:rFonts w:asciiTheme="minorHAnsi" w:hAnsiTheme="minorHAnsi" w:cstheme="minorHAnsi"/>
          <w:color w:val="222222"/>
        </w:rPr>
        <w:t> </w:t>
      </w:r>
      <w:proofErr w:type="gramStart"/>
      <w:r w:rsidRPr="00CF65DB">
        <w:rPr>
          <w:rFonts w:asciiTheme="minorHAnsi" w:hAnsiTheme="minorHAnsi" w:cstheme="minorHAnsi"/>
          <w:color w:val="222222"/>
        </w:rPr>
        <w:t>o</w:t>
      </w:r>
      <w:proofErr w:type="gramEnd"/>
      <w:r w:rsidRPr="00CF65DB">
        <w:rPr>
          <w:rFonts w:asciiTheme="minorHAnsi" w:hAnsiTheme="minorHAnsi" w:cstheme="minorHAnsi"/>
          <w:color w:val="222222"/>
        </w:rPr>
        <w:t>   Развивать международные инициативы и инструменты по мониторингу и ограничению антропогенных выбросов метана и других ПГ, отличных от СО</w:t>
      </w:r>
      <w:r w:rsidRPr="001F685E">
        <w:rPr>
          <w:rFonts w:asciiTheme="minorHAnsi" w:hAnsiTheme="minorHAnsi" w:cstheme="minorHAnsi"/>
          <w:color w:val="222222"/>
          <w:vertAlign w:val="subscript"/>
        </w:rPr>
        <w:t>2</w:t>
      </w:r>
      <w:r w:rsidRPr="00CF65DB">
        <w:rPr>
          <w:rFonts w:asciiTheme="minorHAnsi" w:hAnsiTheme="minorHAnsi" w:cstheme="minorHAnsi"/>
          <w:color w:val="222222"/>
        </w:rPr>
        <w:t>, а также других климатически активных веществ, включая «черный углерод».</w:t>
      </w:r>
    </w:p>
    <w:p w14:paraId="49927170" w14:textId="3A392A69" w:rsidR="001F685E" w:rsidRDefault="001F685E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C1D1B" wp14:editId="59FB0404">
                <wp:simplePos x="0" y="0"/>
                <wp:positionH relativeFrom="margin">
                  <wp:align>right</wp:align>
                </wp:positionH>
                <wp:positionV relativeFrom="paragraph">
                  <wp:posOffset>149210</wp:posOffset>
                </wp:positionV>
                <wp:extent cx="5994400" cy="45719"/>
                <wp:effectExtent l="0" t="0" r="2540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7A81D" id="Прямоугольник 1" o:spid="_x0000_s1026" style="position:absolute;margin-left:420.8pt;margin-top:11.75pt;width:472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1awAIAAAQGAAAOAAAAZHJzL2Uyb0RvYy54bWy0VM1uEzEQviPxDpbvdDdRC03UTRW1KkIq&#10;paJFPTteO7uS/7CdbMIJiSsSj8BDcEH89Bk2b8TY3mx/qDgguOx6PDPfzHyemYPDlRRoyayrtSrw&#10;YCfHiCmqy1rNC/zm8uTJPkbOE1USoRUr8Jo5fDh5/OigMWM21JUWJbMIQJQbN6bAlfdmnGWOVkwS&#10;t6MNU6Dk2kriQbTzrLSkAXQpsmGeP80abUtjNWXOwe1xUuJJxOecUf+Kc8c8EgWG3Hz82vidhW82&#10;OSDjuSWmqmmXBvmLLCSpFQTtoY6JJ2hh69+gZE2tdpr7HaplpjmvKYs1QDWD/F41FxUxLNYC5DjT&#10;0+T+HSw9W55bVJfwdhgpIuGJ2s+b95tP7Y/2evOh/dJet983H9uf7df2GxoEvhrjxuB2Yc5tJzk4&#10;huJX3Mrwh7LQKnK87jlmK48oXO6NRru7OTwFBd3u3rPBKGBmN87GOv+caYnCocAWnjAyS5anzifT&#10;rUmI5bSoy5NaiCiEtmFHwqIlgQefzQfRVSzkS12mu/29HKInnNhlwTwmcAdJqP8GDrUG9CzwmJiL&#10;J78WLMQU6jXj8CLA1TBm32eZCiCUMuVTYa4iJUvXoayH64qAAZkDSz12B3CXsC12oqezD64sjlLv&#10;nP8pseTce8TIWvneWdZK24cABFTVRU72W5ISNYGlmS7X0K9Wp0F2hp7U0CanxPlzYmFyobFgG/lX&#10;8OFCNwXW3QmjStt3D90Hexgo0GLUwCYosHu7IJZhJF4oGLXRABoWVkcUoGOHINjbmtltjVrIIw29&#10;B+ME2cVjsPdie+RWyytYWtMQFVREUYhdYOrtVjjyaUPB2qNsOo1msC4M8afqwtAAHlgNY3C5uiLW&#10;dLPiYcjO9HZrkPG9kUm2wVPp6cJrXsd5uuG14xtWTRyIbi2GXXZbjlY3y3vyCwAA//8DAFBLAwQU&#10;AAYACAAAACEAggUM9N0AAAAGAQAADwAAAGRycy9kb3ducmV2LnhtbEyPwU7DMBBE70j8g7VI3KhN&#10;W6CEOFVAQtxQaZGi3tx4SaLa6yh225SvZznBcWdGM2/z5eidOOIQu0AabicKBFIdbEeNhs/N680C&#10;REyGrHGBUMMZIyyLy4vcZDac6AOP69QILqGYGQ1tSn0mZaxb9CZOQo/E3lcYvEl8Do20gzlxuXdy&#10;qtS99KYjXmhNjy8t1vv1wWtYKXeuKrd/e6feDNsybcrq+Vvr66uxfAKRcEx/YfjFZ3QomGkXDmSj&#10;cBr4kaRhOrsDwe7jfM7CTsNMPYAscvkfv/gBAAD//wMAUEsBAi0AFAAGAAgAAAAhALaDOJL+AAAA&#10;4QEAABMAAAAAAAAAAAAAAAAAAAAAAFtDb250ZW50X1R5cGVzXS54bWxQSwECLQAUAAYACAAAACEA&#10;OP0h/9YAAACUAQAACwAAAAAAAAAAAAAAAAAvAQAAX3JlbHMvLnJlbHNQSwECLQAUAAYACAAAACEA&#10;/zwNWsACAAAEBgAADgAAAAAAAAAAAAAAAAAuAgAAZHJzL2Uyb0RvYy54bWxQSwECLQAUAAYACAAA&#10;ACEAggUM9N0AAAAGAQAADwAAAAAAAAAAAAAAAAAaBQAAZHJzL2Rvd25yZXYueG1sUEsFBgAAAAAE&#10;AAQA8wAAACQGAAAAAA==&#10;" fillcolor="#d8d8d8 [2732]" strokecolor="#d8d8d8 [2732]" strokeweight="1pt">
                <w10:wrap anchorx="margin"/>
              </v:rect>
            </w:pict>
          </mc:Fallback>
        </mc:AlternateContent>
      </w:r>
    </w:p>
    <w:p w14:paraId="49F7B934" w14:textId="657FB4D4" w:rsidR="001F685E" w:rsidRPr="001F685E" w:rsidRDefault="001F685E" w:rsidP="00CF65DB">
      <w:pPr>
        <w:pStyle w:val="a9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i/>
          <w:iCs/>
          <w:color w:val="222222"/>
          <w:sz w:val="23"/>
          <w:szCs w:val="23"/>
        </w:rPr>
      </w:pPr>
      <w:r w:rsidRPr="001F685E">
        <w:rPr>
          <w:rFonts w:asciiTheme="minorHAnsi" w:hAnsiTheme="minorHAnsi" w:cstheme="minorHAnsi"/>
          <w:i/>
          <w:iCs/>
          <w:color w:val="222222"/>
          <w:sz w:val="23"/>
          <w:szCs w:val="23"/>
        </w:rPr>
        <w:t xml:space="preserve">Заявление одобрено на онлайн </w:t>
      </w:r>
      <w:r w:rsidRPr="001F685E">
        <w:rPr>
          <w:rFonts w:asciiTheme="minorHAnsi" w:hAnsiTheme="minorHAnsi" w:cstheme="minorHAnsi"/>
          <w:b/>
          <w:bCs/>
          <w:i/>
          <w:iCs/>
          <w:color w:val="222222"/>
          <w:sz w:val="23"/>
          <w:szCs w:val="23"/>
        </w:rPr>
        <w:t>Дискуссионном климатическом форуме</w:t>
      </w:r>
      <w:r w:rsidRPr="001F685E">
        <w:rPr>
          <w:rFonts w:asciiTheme="minorHAnsi" w:hAnsiTheme="minorHAnsi" w:cstheme="minorHAnsi"/>
          <w:i/>
          <w:iCs/>
          <w:color w:val="222222"/>
          <w:sz w:val="23"/>
          <w:szCs w:val="23"/>
        </w:rPr>
        <w:t xml:space="preserve"> 27 октября 2025 г. </w:t>
      </w:r>
      <w:r>
        <w:rPr>
          <w:rFonts w:asciiTheme="minorHAnsi" w:hAnsiTheme="minorHAnsi" w:cstheme="minorHAnsi"/>
          <w:i/>
          <w:iCs/>
          <w:color w:val="222222"/>
          <w:sz w:val="23"/>
          <w:szCs w:val="23"/>
        </w:rPr>
        <w:t xml:space="preserve">    </w:t>
      </w:r>
      <w:r w:rsidRPr="001F685E">
        <w:rPr>
          <w:rFonts w:asciiTheme="minorHAnsi" w:hAnsiTheme="minorHAnsi" w:cstheme="minorHAnsi"/>
          <w:i/>
          <w:iCs/>
          <w:color w:val="222222"/>
          <w:sz w:val="23"/>
          <w:szCs w:val="23"/>
        </w:rPr>
        <w:t xml:space="preserve">с участием 49 экспертов некоммерческих неправительственных организаций из 7 </w:t>
      </w:r>
      <w:proofErr w:type="spellStart"/>
      <w:r w:rsidRPr="001F685E">
        <w:rPr>
          <w:rFonts w:asciiTheme="minorHAnsi" w:hAnsiTheme="minorHAnsi" w:cstheme="minorHAnsi"/>
          <w:i/>
          <w:iCs/>
          <w:color w:val="222222"/>
          <w:sz w:val="23"/>
          <w:szCs w:val="23"/>
        </w:rPr>
        <w:t>федераль</w:t>
      </w:r>
      <w:r>
        <w:rPr>
          <w:rFonts w:asciiTheme="minorHAnsi" w:hAnsiTheme="minorHAnsi" w:cstheme="minorHAnsi"/>
          <w:i/>
          <w:iCs/>
          <w:color w:val="222222"/>
          <w:sz w:val="23"/>
          <w:szCs w:val="23"/>
        </w:rPr>
        <w:t>-</w:t>
      </w:r>
      <w:r w:rsidRPr="001F685E">
        <w:rPr>
          <w:rFonts w:asciiTheme="minorHAnsi" w:hAnsiTheme="minorHAnsi" w:cstheme="minorHAnsi"/>
          <w:i/>
          <w:iCs/>
          <w:color w:val="222222"/>
          <w:sz w:val="23"/>
          <w:szCs w:val="23"/>
        </w:rPr>
        <w:t>ных</w:t>
      </w:r>
      <w:proofErr w:type="spellEnd"/>
      <w:r w:rsidRPr="001F685E">
        <w:rPr>
          <w:rFonts w:asciiTheme="minorHAnsi" w:hAnsiTheme="minorHAnsi" w:cstheme="minorHAnsi"/>
          <w:i/>
          <w:iCs/>
          <w:color w:val="222222"/>
          <w:sz w:val="23"/>
          <w:szCs w:val="23"/>
        </w:rPr>
        <w:t xml:space="preserve"> округов РФ.</w:t>
      </w:r>
    </w:p>
    <w:p w14:paraId="3431F8AE" w14:textId="77777777" w:rsidR="00CF65DB" w:rsidRPr="00350EEE" w:rsidRDefault="00CF65DB" w:rsidP="009A1A6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sectPr w:rsidR="00CF65DB" w:rsidRPr="00350EEE" w:rsidSect="00BF5BED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4203"/>
    <w:multiLevelType w:val="hybridMultilevel"/>
    <w:tmpl w:val="2EA87394"/>
    <w:lvl w:ilvl="0" w:tplc="228CBEE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F84"/>
    <w:multiLevelType w:val="hybridMultilevel"/>
    <w:tmpl w:val="B34E37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674B2"/>
    <w:multiLevelType w:val="hybridMultilevel"/>
    <w:tmpl w:val="2EEA53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10BD"/>
    <w:multiLevelType w:val="hybridMultilevel"/>
    <w:tmpl w:val="D0DC1F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86438"/>
    <w:multiLevelType w:val="hybridMultilevel"/>
    <w:tmpl w:val="1696C6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B0D10"/>
    <w:multiLevelType w:val="hybridMultilevel"/>
    <w:tmpl w:val="846CCB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C60AA"/>
    <w:multiLevelType w:val="hybridMultilevel"/>
    <w:tmpl w:val="FC12C1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2ED8"/>
    <w:multiLevelType w:val="hybridMultilevel"/>
    <w:tmpl w:val="B8DC66C6"/>
    <w:lvl w:ilvl="0" w:tplc="8C8428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464BF"/>
    <w:multiLevelType w:val="hybridMultilevel"/>
    <w:tmpl w:val="7F649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5637D"/>
    <w:multiLevelType w:val="hybridMultilevel"/>
    <w:tmpl w:val="DE9EF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80A52"/>
    <w:multiLevelType w:val="hybridMultilevel"/>
    <w:tmpl w:val="1F50A834"/>
    <w:lvl w:ilvl="0" w:tplc="8C8428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85ED0"/>
    <w:multiLevelType w:val="hybridMultilevel"/>
    <w:tmpl w:val="1A4067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10B36"/>
    <w:multiLevelType w:val="hybridMultilevel"/>
    <w:tmpl w:val="A58EC55E"/>
    <w:lvl w:ilvl="0" w:tplc="041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6DEC5106"/>
    <w:multiLevelType w:val="hybridMultilevel"/>
    <w:tmpl w:val="A8C29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3598B"/>
    <w:multiLevelType w:val="hybridMultilevel"/>
    <w:tmpl w:val="F16451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0442"/>
    <w:multiLevelType w:val="hybridMultilevel"/>
    <w:tmpl w:val="E0328D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00260"/>
    <w:multiLevelType w:val="hybridMultilevel"/>
    <w:tmpl w:val="943643DA"/>
    <w:lvl w:ilvl="0" w:tplc="8C8428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 w:numId="13">
    <w:abstractNumId w:val="14"/>
  </w:num>
  <w:num w:numId="14">
    <w:abstractNumId w:val="1"/>
  </w:num>
  <w:num w:numId="15">
    <w:abstractNumId w:val="9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8E"/>
    <w:rsid w:val="000A566A"/>
    <w:rsid w:val="001F685E"/>
    <w:rsid w:val="002567A6"/>
    <w:rsid w:val="00350EEE"/>
    <w:rsid w:val="003E3170"/>
    <w:rsid w:val="003E6654"/>
    <w:rsid w:val="003F00BB"/>
    <w:rsid w:val="004106F4"/>
    <w:rsid w:val="00444D37"/>
    <w:rsid w:val="004478B8"/>
    <w:rsid w:val="0045118E"/>
    <w:rsid w:val="004E1C9B"/>
    <w:rsid w:val="00505672"/>
    <w:rsid w:val="005A5EAA"/>
    <w:rsid w:val="005D4F47"/>
    <w:rsid w:val="005E7864"/>
    <w:rsid w:val="00624F6A"/>
    <w:rsid w:val="00680AF5"/>
    <w:rsid w:val="006A1CE9"/>
    <w:rsid w:val="006C7571"/>
    <w:rsid w:val="006E119E"/>
    <w:rsid w:val="00706306"/>
    <w:rsid w:val="00735F1E"/>
    <w:rsid w:val="00770C76"/>
    <w:rsid w:val="008131A0"/>
    <w:rsid w:val="008432A8"/>
    <w:rsid w:val="00897646"/>
    <w:rsid w:val="008A6E1F"/>
    <w:rsid w:val="008E375D"/>
    <w:rsid w:val="009022C4"/>
    <w:rsid w:val="009A1A64"/>
    <w:rsid w:val="009B5926"/>
    <w:rsid w:val="00A96C2B"/>
    <w:rsid w:val="00AA236C"/>
    <w:rsid w:val="00B24374"/>
    <w:rsid w:val="00BF5BED"/>
    <w:rsid w:val="00BF6CA8"/>
    <w:rsid w:val="00C035FF"/>
    <w:rsid w:val="00C11A76"/>
    <w:rsid w:val="00C35252"/>
    <w:rsid w:val="00CF65DB"/>
    <w:rsid w:val="00D71540"/>
    <w:rsid w:val="00D92983"/>
    <w:rsid w:val="00E234CD"/>
    <w:rsid w:val="00E3285E"/>
    <w:rsid w:val="00EA7A00"/>
    <w:rsid w:val="00EE521A"/>
    <w:rsid w:val="00FB504D"/>
    <w:rsid w:val="00FD7014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7770"/>
  <w15:chartTrackingRefBased/>
  <w15:docId w15:val="{B71C0D35-05D7-4EC0-8D6A-1E182D72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1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11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118E"/>
    <w:rPr>
      <w:b/>
      <w:bCs/>
    </w:rPr>
  </w:style>
  <w:style w:type="character" w:styleId="a4">
    <w:name w:val="Emphasis"/>
    <w:basedOn w:val="a0"/>
    <w:uiPriority w:val="20"/>
    <w:qFormat/>
    <w:rsid w:val="0045118E"/>
    <w:rPr>
      <w:i/>
      <w:iCs/>
    </w:rPr>
  </w:style>
  <w:style w:type="paragraph" w:styleId="a5">
    <w:name w:val="List Paragraph"/>
    <w:basedOn w:val="a"/>
    <w:uiPriority w:val="34"/>
    <w:qFormat/>
    <w:rsid w:val="004511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2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285E"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a0"/>
    <w:rsid w:val="002567A6"/>
  </w:style>
  <w:style w:type="character" w:customStyle="1" w:styleId="vkekvd">
    <w:name w:val="vkekvd"/>
    <w:basedOn w:val="a0"/>
    <w:rsid w:val="002567A6"/>
  </w:style>
  <w:style w:type="character" w:styleId="a8">
    <w:name w:val="Hyperlink"/>
    <w:basedOn w:val="a0"/>
    <w:uiPriority w:val="99"/>
    <w:semiHidden/>
    <w:unhideWhenUsed/>
    <w:rsid w:val="00EE521A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F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2025-11-02T11:45:00Z</dcterms:created>
  <dcterms:modified xsi:type="dcterms:W3CDTF">2025-11-02T11:45:00Z</dcterms:modified>
</cp:coreProperties>
</file>