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A2" w:rsidRDefault="00074DA2"/>
    <w:p w:rsidR="00074DA2" w:rsidRDefault="00074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КОЛЛЕКТИВНОЕ ОБРАЩЕНИЕ</w:t>
      </w:r>
    </w:p>
    <w:p w:rsidR="00074DA2" w:rsidRDefault="00074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DA2" w:rsidRDefault="00074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Шаманистов/тенгрианцев в защиту Байкала</w:t>
      </w:r>
    </w:p>
    <w:p w:rsidR="00074DA2" w:rsidRDefault="00074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связи с предлагаемым принятием законопроекта № 387575-8 «О внесении изменений в Федеральный закона «Об охране озера Байкал» («О внесении изменений в статью 25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«Об охране озера Байкал» и статью 11 Федерального закона «Об экологической экспертизе»)</w:t>
      </w:r>
    </w:p>
    <w:p w:rsidR="00074DA2" w:rsidRDefault="00074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недопустимости ослабления охраны озера Байкал и необходимости правовой защиты сакральных мест (к законопроекту № 387575-8).</w:t>
      </w:r>
    </w:p>
    <w:p w:rsidR="00074DA2" w:rsidRDefault="00074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DA2" w:rsidRDefault="00074D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Государственной Думы </w:t>
      </w:r>
    </w:p>
    <w:p w:rsidR="00074DA2" w:rsidRDefault="00074DA2">
      <w:pPr>
        <w:jc w:val="right"/>
        <w:rPr>
          <w:rFonts w:ascii="Arial" w:hAnsi="Arial" w:cs="Arial"/>
          <w:color w:val="474747"/>
          <w:sz w:val="21"/>
          <w:szCs w:val="21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Федерального собрания Российской Федерации,</w:t>
      </w:r>
      <w:r>
        <w:rPr>
          <w:rFonts w:ascii="Arial" w:hAnsi="Arial" w:cs="Arial"/>
          <w:color w:val="474747"/>
          <w:sz w:val="21"/>
          <w:szCs w:val="21"/>
          <w:highlight w:val="white"/>
        </w:rPr>
        <w:t xml:space="preserve"> </w:t>
      </w:r>
    </w:p>
    <w:p w:rsidR="00074DA2" w:rsidRDefault="00074D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Вячеславу Викторовичу Володину.</w:t>
      </w:r>
    </w:p>
    <w:p w:rsidR="00074DA2" w:rsidRDefault="00074DA2">
      <w:pPr>
        <w:rPr>
          <w:rFonts w:ascii="Times New Roman" w:hAnsi="Times New Roman" w:cs="Times New Roman"/>
          <w:sz w:val="28"/>
          <w:szCs w:val="28"/>
        </w:rPr>
      </w:pPr>
    </w:p>
    <w:p w:rsidR="00074DA2" w:rsidRDefault="00074DA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cedswoy5i9yn" w:colFirst="0" w:colLast="0"/>
      <w:bookmarkEnd w:id="0"/>
      <w:r>
        <w:rPr>
          <w:rFonts w:ascii="Times New Roman" w:hAnsi="Times New Roman" w:cs="Times New Roman"/>
          <w:sz w:val="28"/>
          <w:szCs w:val="28"/>
        </w:rPr>
        <w:t>Уважаемый Вячеслав Викторович!</w:t>
      </w:r>
    </w:p>
    <w:p w:rsidR="00074DA2" w:rsidRDefault="00074DA2">
      <w:pPr>
        <w:rPr>
          <w:rFonts w:ascii="Times New Roman" w:hAnsi="Times New Roman" w:cs="Times New Roman"/>
          <w:sz w:val="28"/>
          <w:szCs w:val="28"/>
        </w:rPr>
      </w:pP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— шаманы и последователи шаманизма/тенгрианства из разных регионов России и Центральной Азии, хранители традиции, чьи корни уходят в тысячелетия. 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Обращаемся к Вам в связи с обсуждением в Государственной Думе Российской Федерации законопроекта № 387575-8 «О внесении изменений в законодательство об охране озера Байкал».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pi6m106ss8g4" w:colFirst="0" w:colLast="0"/>
      <w:bookmarkEnd w:id="1"/>
      <w:r>
        <w:rPr>
          <w:rFonts w:ascii="Times New Roman" w:hAnsi="Times New Roman" w:cs="Times New Roman"/>
          <w:sz w:val="28"/>
          <w:szCs w:val="28"/>
        </w:rPr>
        <w:t>Для нас Байкал — не просто озеро. Это сакральный центр шаманского, тенгрианского мира, Храм Природы, место молитвы, силы и жизни. Здесь наши предки веками служили Небу и Земле; здесь хранится равновесие, дарующее людям здоровье, а народам — жизнь и будущее.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Законопроект, допускающий сплошные рубки лесных насаждений, строительство и вмешательства в береговую линию Байкала, — это не только экологические риски, но духовный надлом. 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при действующем регулировании фиксируется множество нарушений охранного режима и, как следствие, исчезают озера, а также речки, ручьи, родники, питающие Байкал. Священные места не учитываются при освоении. Разрушение берегов Байкала — это нарушение связи Человека, Природы и Неба. Такой ущерб необратим и не исцеляется ни деньгами, ни технологиями. 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и ограничения местных жителей, постоянно проживающих на берегах Байкала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многочисленны и сложны. Тем не менее, решение этих проблем не должно идти вразрез с сохранением природного и духовного баланса Байкала.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Культурно-духовное обоснование.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Шаманизм (тенгрианство) у бурят, эвенков, тофаларов, тувинцев,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алтайцев</w:t>
      </w:r>
      <w:r>
        <w:rPr>
          <w:rFonts w:ascii="Times New Roman" w:hAnsi="Times New Roman" w:cs="Times New Roman"/>
          <w:sz w:val="28"/>
          <w:szCs w:val="28"/>
          <w:lang w:val="ru-RU"/>
        </w:rPr>
        <w:t>, якутов</w:t>
      </w:r>
      <w:r>
        <w:rPr>
          <w:rFonts w:ascii="Times New Roman" w:hAnsi="Times New Roman" w:cs="Times New Roman"/>
          <w:sz w:val="28"/>
          <w:szCs w:val="28"/>
        </w:rPr>
        <w:t xml:space="preserve"> и других монгольских и тюркских народов многообразен по обрядам и формам, но через всё проходит единая нить — почитание Природы. Каждая гора, водоём, дерево и животное имеют душу и голос, требующие уважения и умения слушать. Природа для нас — величайший храм, где небеса — свод, земля — алтарь, а всё вокруг — свято.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этих мест Байкал — особый: живое божество, сердце земли и хранитель равновесия; храм в храме, великая чаша чистой воды, в которой отражаются небеса и судьбы народов.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 развитие, и в нём действительно нуждаются жители Байкальской территории. Но истинное развитие возможно только при уважении к святыням, к предкам и к связи человека с Природой. Разрыв этой связи ведёт к болезни, распаду и утрате.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Байкал — сердце нашей веры, символ чистоты и силы. Мы отвечаем за него перед Небом, перед предками и перед потомками. Мы говорим единым голосом: сохраните Байкал как священное пространство жизни, духа и порядка.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Юридическое и экономическое обоснование. 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законопроекта № 387575-8 на наш взгляд будет являться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нарушением международных обязательств России по охране озера Байкал. Озеро является объектом Всемирного природного наследия ЮНЕСКО. Ослабление его режима охраны прямо противоречит Конвенции об охране всемирного культурного и природного наследия (</w:t>
      </w:r>
      <w:smartTag w:uri="urn:schemas-microsoft-com:office:smarttags" w:element="metricconverter">
        <w:smartTagPr>
          <w:attr w:name="ProductID" w:val="1972 г"/>
        </w:smartTagPr>
        <w:r>
          <w:rPr>
            <w:rFonts w:ascii="Times New Roman" w:hAnsi="Times New Roman" w:cs="Times New Roman"/>
            <w:color w:val="000000"/>
            <w:sz w:val="28"/>
            <w:szCs w:val="28"/>
          </w:rPr>
          <w:t>1972 г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.) и может повлечь занесение Байкала в список «Наследие под угрозой», что нанесет непоправимый ущерб международному престижу страны. 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Предлагаемое регулирование противоречит статье 5 Федерального закона «Об охране озера Байкал», в соответствии с которыми </w:t>
      </w:r>
      <w:r>
        <w:rPr>
          <w:rFonts w:ascii="Times New Roman" w:hAnsi="Times New Roman" w:cs="Times New Roman"/>
          <w:sz w:val="28"/>
          <w:szCs w:val="28"/>
        </w:rPr>
        <w:t xml:space="preserve">хозяйственная и иная деятельность на Байкальской природной территории осуществляются на основании следующих принципов: приоритет видов деятельности, не приводящих к нарушению уникальной экологической системы озера Байкал и природных ландшафтов его водоохранной зоны; учет комплексности воздействия хозяйственной и иной деятельности на уникальную экологическую систему озера Байкал; сбалансированность решения социально-экономических задач и задач охраны уникальной экологической системы озера Байкал на принципах устойчивого развития; обязательность государственной экологической экспертизы. 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законопроекта </w:t>
      </w:r>
      <w:r>
        <w:rPr>
          <w:rFonts w:ascii="Times New Roman" w:hAnsi="Times New Roman" w:cs="Times New Roman"/>
          <w:sz w:val="28"/>
          <w:szCs w:val="28"/>
        </w:rPr>
        <w:t xml:space="preserve">№ 387575-8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вступают в противоречие с положениями иных федеральных законов. Так, в соответствии со статьями 3 и 5 Федерального закона «Об объектах культурного наследия народов Российской Федерации», к объектам культурного наследия относятся, в том числе объекты археологического наследия, которые включают </w:t>
      </w:r>
      <w:r>
        <w:rPr>
          <w:rFonts w:ascii="Times New Roman" w:hAnsi="Times New Roman" w:cs="Times New Roman"/>
          <w:sz w:val="28"/>
          <w:szCs w:val="28"/>
        </w:rPr>
        <w:t xml:space="preserve">места совершения древних религиозных обрядов. В границах территории объекта культурного наследия запрещаются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работ. Сопоставление мест совершения древних религиозных обрядов и устанавливаемых законопроектом № 387575-8 мест строительства не проводилось. 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Статьями 3 и 4 Федерального закона «Об охране окружающей среды» определено, что </w:t>
      </w:r>
      <w:r>
        <w:rPr>
          <w:rFonts w:ascii="Times New Roman" w:hAnsi="Times New Roman" w:cs="Times New Roman"/>
          <w:sz w:val="28"/>
          <w:szCs w:val="28"/>
        </w:rPr>
        <w:t>хозяйственная и иная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и физических лиц, оказывающая воздействие на окружающую среду, должна осуществляться на основе, в частности, следующих принципов: презумпция экологической опасности планируемой хозяйственной и иной деятельности; обязательность оценки воздействия на окружающую среду при принятии решений об осуществлении хозяйственной и иной деятельности; приоритет сохранения естественных экологических систем, природных ландшафтов и природных комплексов. Исходя из имеющейся информации в СМИ указанная оценка норм законопроекта № 387575-8 не проводилась.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экспертов в области охраны окружающей среды принятие законопроекта № 387575-8 создаст ещё больше «окон возможностей» для вырубки леса и перспектив для застройки туристической инфраструктурой особых экономических зон и фактически неограниченного строительства дорог в ЦЭЗ БПТ. Согласно оценкам Российской академии наук, ослабление охраны может привести к серьезным последствиям для Байкала.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обеспокоены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положения законопроекта № 387575-8 могут быть использованы для продвижения крупных инфраструктурных проектов — строительство новых дорог, крупных гостиничных комплексов и расширению туристических зон. Такие изменения приведут к росту и без того колоссальной антропогенной нагрузки на Байкал.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 обращаем Ваше внимание, что принятие столь существенных законодательных изменений без полноценного учета мнения коренного и местного населения ведет к росту социальной напряженности и подрывает доверие к власти в регионах Байкальской природной территории. Игнорирование духовных и культурных потребностей людей, для которых Байкал является центром шаманского/тенгрианского мира, создает почву для серьезных социальных конфликтов, которых можно и нужно избежать путем открытого и уважительного диалога.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DA2" w:rsidRDefault="00074DA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Наши предложения: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Приостановить принятие изменений, затрагивающих режим охраны Байкала, до проведения независимой научной экспертизы и широких публичных слушаний в затронутых регионах.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временный мораторий на необратимые работы (санитарные рубки, капитальное и линейное строительство, изменение береговой линии) в Центральной экологической зоне БПТ до завершения независимой экспертизы и общественного обсуждения.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Ввести в процедуры экспертизы обязательный учёт культурно-духовных факторов для проектов в границах Байкальской природной территории (БПТ) с участием представителей шаманских общин и экспертов по нематериальному культурному наследию.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Расширить состав рабочей группы и экспертного совета Комитета Государственной Думы Российской Федерации по экологии, включив в него уполномоченных представителей шаманских/тенгрианских общин, для которых озеро Байкал является объектом религиозного почитания.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Предусмотреть правовые механизмы охраны сакральных мест: охранные и буферные зоны, режимы ограничения хозяйственной деятельности — с использованием действующего законодательства о культурном наследии и нематериальном этнокультурном достоянии.</w:t>
      </w:r>
    </w:p>
    <w:p w:rsidR="00074DA2" w:rsidRDefault="00074D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074DA2" w:rsidRPr="00242A27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Шаманы и шаманисты Иркутской области, Республики Бурятия, Забайкальского края, Республики Тыва, Республики Алтай, Хакасии, Красноярского края, </w:t>
      </w:r>
      <w:r>
        <w:rPr>
          <w:rFonts w:ascii="Times New Roman" w:hAnsi="Times New Roman" w:cs="Times New Roman"/>
          <w:sz w:val="28"/>
          <w:szCs w:val="28"/>
          <w:lang w:val="ru-RU"/>
        </w:rPr>
        <w:t>Республики Саха (</w:t>
      </w:r>
      <w:r>
        <w:rPr>
          <w:rFonts w:ascii="Times New Roman" w:hAnsi="Times New Roman" w:cs="Times New Roman"/>
          <w:sz w:val="28"/>
          <w:szCs w:val="28"/>
        </w:rPr>
        <w:t>Якутия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  <w:bookmarkStart w:id="2" w:name="_GoBack"/>
      <w:bookmarkEnd w:id="2"/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</w:t>
      </w:r>
    </w:p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39"/>
        <w:gridCol w:w="3119"/>
        <w:gridCol w:w="2705"/>
      </w:tblGrid>
      <w:tr w:rsidR="00074DA2" w:rsidTr="002C23C9">
        <w:trPr>
          <w:trHeight w:val="1381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3C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3C9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3C9">
              <w:rPr>
                <w:rFonts w:ascii="Times New Roman" w:hAnsi="Times New Roman" w:cs="Times New Roman"/>
                <w:sz w:val="28"/>
                <w:szCs w:val="28"/>
              </w:rPr>
              <w:t>Подпись или адрес электронной почты</w:t>
            </w: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689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689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DA2" w:rsidTr="002C23C9">
        <w:trPr>
          <w:trHeight w:val="736"/>
        </w:trPr>
        <w:tc>
          <w:tcPr>
            <w:tcW w:w="353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74DA2" w:rsidRPr="002C23C9" w:rsidRDefault="00074DA2" w:rsidP="002C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DA2" w:rsidRDefault="0007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4DA2" w:rsidSect="00AD71F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687"/>
    <w:rsid w:val="00074DA2"/>
    <w:rsid w:val="00242A27"/>
    <w:rsid w:val="002C23C9"/>
    <w:rsid w:val="00464276"/>
    <w:rsid w:val="00891D14"/>
    <w:rsid w:val="00AD71FE"/>
    <w:rsid w:val="00E10CCD"/>
    <w:rsid w:val="00EB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1FE"/>
    <w:pPr>
      <w:spacing w:after="160" w:line="259" w:lineRule="auto"/>
    </w:pPr>
    <w:rPr>
      <w:lang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71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71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71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71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71F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71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ED1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ED1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ED1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ED1"/>
    <w:rPr>
      <w:rFonts w:asciiTheme="minorHAnsi" w:eastAsiaTheme="minorEastAsia" w:hAnsiTheme="minorHAnsi" w:cstheme="minorBid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ED1"/>
    <w:rPr>
      <w:rFonts w:asciiTheme="minorHAnsi" w:eastAsiaTheme="minorEastAsia" w:hAnsiTheme="minorHAnsi" w:cstheme="minorBid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ED1"/>
    <w:rPr>
      <w:rFonts w:asciiTheme="minorHAnsi" w:eastAsiaTheme="minorEastAsia" w:hAnsiTheme="minorHAnsi" w:cstheme="minorBidi"/>
      <w:b/>
      <w:bCs/>
      <w:lang/>
    </w:rPr>
  </w:style>
  <w:style w:type="table" w:customStyle="1" w:styleId="TableNormal0">
    <w:name w:val="TableNormal"/>
    <w:uiPriority w:val="99"/>
    <w:rsid w:val="00AD71FE"/>
    <w:pPr>
      <w:spacing w:after="160" w:line="259" w:lineRule="auto"/>
    </w:pPr>
    <w:rPr>
      <w:lang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D71F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2ED1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paragraph" w:styleId="Subtitle">
    <w:name w:val="Subtitle"/>
    <w:basedOn w:val="Normal"/>
    <w:next w:val="Normal"/>
    <w:link w:val="SubtitleChar"/>
    <w:uiPriority w:val="99"/>
    <w:qFormat/>
    <w:rsid w:val="00AD71F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B2ED1"/>
    <w:rPr>
      <w:rFonts w:asciiTheme="majorHAnsi" w:eastAsiaTheme="majorEastAsia" w:hAnsiTheme="majorHAnsi" w:cstheme="majorBidi"/>
      <w:sz w:val="24"/>
      <w:szCs w:val="24"/>
      <w:lang/>
    </w:rPr>
  </w:style>
  <w:style w:type="table" w:customStyle="1" w:styleId="a">
    <w:name w:val="Стиль"/>
    <w:basedOn w:val="TableNormal0"/>
    <w:uiPriority w:val="99"/>
    <w:rsid w:val="00AD71F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6</Pages>
  <Words>1276</Words>
  <Characters>7277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Свет</cp:lastModifiedBy>
  <cp:revision>3</cp:revision>
  <dcterms:created xsi:type="dcterms:W3CDTF">2025-09-02T11:04:00Z</dcterms:created>
  <dcterms:modified xsi:type="dcterms:W3CDTF">2025-09-03T14:49:00Z</dcterms:modified>
</cp:coreProperties>
</file>