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72535" w14:textId="77777777" w:rsidR="00BD4261" w:rsidRPr="00BD4261" w:rsidRDefault="00BD4261" w:rsidP="00BD4261">
      <w:pPr>
        <w:pStyle w:val="CH1"/>
        <w:keepNext w:val="0"/>
        <w:keepLines w:val="0"/>
        <w:tabs>
          <w:tab w:val="clear" w:pos="624"/>
          <w:tab w:val="clear" w:pos="1247"/>
          <w:tab w:val="clear" w:pos="1871"/>
          <w:tab w:val="clear" w:pos="2495"/>
          <w:tab w:val="clear" w:pos="3119"/>
          <w:tab w:val="clear" w:pos="3742"/>
          <w:tab w:val="clear" w:pos="4366"/>
        </w:tabs>
        <w:spacing w:before="0"/>
        <w:jc w:val="both"/>
        <w:rPr>
          <w:sz w:val="32"/>
          <w:szCs w:val="32"/>
        </w:rPr>
      </w:pPr>
      <w:r w:rsidRPr="00BD4261">
        <w:rPr>
          <w:bCs/>
          <w:sz w:val="32"/>
          <w:szCs w:val="32"/>
        </w:rPr>
        <w:t>Тема совещаний 2025 года «Сделать видимым невидимое: рациональное регулирование химических веществ и отходов»</w:t>
      </w:r>
      <w:bookmarkStart w:id="0" w:name="_Hlk191649148"/>
      <w:bookmarkEnd w:id="0"/>
    </w:p>
    <w:p w14:paraId="3A2B4802"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Тема совещаний конференций Сторон Базельской, Роттердамской и Стокгольмской конвенций в 2025 году – «Сделать видимым невидимое: рациональное регулирование химических веществ и отходов» – призвана привлечь внимание к воздействию опасных химических веществ и отходов на здоровье человека и окружающую среду, а также решениям, предлагаемым Базельской, Роттердамской и Стокгольмской конвенциями. Химические вещества и рециркуляция отходов зачастую менее значимы в политической повестке, чем другие экологические проблемы, поскольку их вредное воздействие на здоровье и окружающую среду не всегда очевидно с первого взгляда. Эта неочевидность усугубляется еще и тем, что опасные химические вещества и отходы накапливаются постепенно, а каналы их распространения – через воздух, воду, почву и продукты питания – часто остаются вне поля зрения до появления серьезных последствий для здоровья или окружающей среды. Однако предотвращение загрязнения окружающей среды путем экологически обоснованного обращения с опасными химическими веществами и отходами имеет важнейшее значение для сохранения и укрепления здоровья и благополучия людей. Планета, свободная от загрязнения, позволит замедлить утрату биоразнообразия и смягчить последствия изменения климата, способствуя преодолению экологического кризиса планетарного масштаба. </w:t>
      </w:r>
    </w:p>
    <w:p w14:paraId="297641FB"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Экологически обоснованное обращение с опасными химическими веществами и отходами также играет важнейшую роль в обеспечении </w:t>
      </w:r>
      <w:proofErr w:type="spellStart"/>
      <w:r w:rsidRPr="00BD4261">
        <w:rPr>
          <w:sz w:val="32"/>
          <w:szCs w:val="32"/>
        </w:rPr>
        <w:t>многооборотности</w:t>
      </w:r>
      <w:proofErr w:type="spellEnd"/>
      <w:r w:rsidRPr="00BD4261">
        <w:rPr>
          <w:sz w:val="32"/>
          <w:szCs w:val="32"/>
        </w:rPr>
        <w:t xml:space="preserve">, способствуя безопасному, эффективному и рациональному потреблению ресурсов. Такое обоснованное обращение снижает риски загрязнения и обеспечивает безопасную рециркуляцию и рекуперацию ценных материалов, которые могут быть преобразованы в новую продукцию, что снизит спрос на первичные материалы. </w:t>
      </w:r>
    </w:p>
    <w:p w14:paraId="38CDF813"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lastRenderedPageBreak/>
        <w:t>Для достижения этих целей крайне важно, чтобы страны развили достаточный потенциал для экологически обоснованного обращения с химическими веществами и отходами. Он подразумевает формирование нормативно-правовой базы, структур управления и институтов, а также обеспечение доступа к информации, необходимой для принятия обоснованных решений. Предоставление странам необходимых инструментов – технической помощи, создания потенциала и передачи технологий – позволит им выполнить их обязательства согласно Базельской, Роттердамской и Стокгольмской конвенциям, тем самым сократив масштабы высвобождения опасных химических веществ и отходов в окружающую среду. Такие усилия позволят защитить здоровье людей и обеспечат преимущества, выходящие за пределы обращения с химическими веществами и отходами.</w:t>
      </w:r>
    </w:p>
    <w:p w14:paraId="50B2CC17" w14:textId="77777777" w:rsidR="00BD4261" w:rsidRPr="00BD4261" w:rsidRDefault="00BD4261" w:rsidP="00BD4261">
      <w:pPr>
        <w:pStyle w:val="CH2"/>
        <w:keepNext w:val="0"/>
        <w:keepLines w:val="0"/>
        <w:tabs>
          <w:tab w:val="clear" w:pos="624"/>
          <w:tab w:val="clear" w:pos="1247"/>
          <w:tab w:val="clear" w:pos="1871"/>
          <w:tab w:val="clear" w:pos="2495"/>
          <w:tab w:val="clear" w:pos="3119"/>
          <w:tab w:val="clear" w:pos="3742"/>
          <w:tab w:val="clear" w:pos="4366"/>
        </w:tabs>
        <w:spacing w:before="0"/>
        <w:jc w:val="both"/>
        <w:rPr>
          <w:sz w:val="32"/>
          <w:szCs w:val="32"/>
        </w:rPr>
      </w:pPr>
      <w:r w:rsidRPr="00BD4261">
        <w:rPr>
          <w:bCs/>
          <w:sz w:val="32"/>
          <w:szCs w:val="32"/>
        </w:rPr>
        <w:tab/>
        <w:t>A.</w:t>
      </w:r>
      <w:r w:rsidRPr="00BD4261">
        <w:rPr>
          <w:sz w:val="32"/>
          <w:szCs w:val="32"/>
        </w:rPr>
        <w:tab/>
      </w:r>
      <w:proofErr w:type="spellStart"/>
      <w:r w:rsidRPr="00BD4261">
        <w:rPr>
          <w:bCs/>
          <w:sz w:val="32"/>
          <w:szCs w:val="32"/>
        </w:rPr>
        <w:t>Подтемы</w:t>
      </w:r>
      <w:proofErr w:type="spellEnd"/>
      <w:r w:rsidRPr="00BD4261">
        <w:rPr>
          <w:bCs/>
          <w:sz w:val="32"/>
          <w:szCs w:val="32"/>
        </w:rPr>
        <w:t xml:space="preserve"> сегмента высокого уровня</w:t>
      </w:r>
    </w:p>
    <w:p w14:paraId="764C6A5D" w14:textId="77777777" w:rsidR="00BD4261" w:rsidRPr="00BD4261" w:rsidRDefault="00BD4261" w:rsidP="00BD4261">
      <w:pPr>
        <w:pStyle w:val="CH3"/>
        <w:keepNext w:val="0"/>
        <w:keepLines w:val="0"/>
        <w:tabs>
          <w:tab w:val="clear" w:pos="624"/>
          <w:tab w:val="clear" w:pos="1247"/>
          <w:tab w:val="clear" w:pos="1871"/>
          <w:tab w:val="clear" w:pos="2495"/>
          <w:tab w:val="clear" w:pos="3119"/>
          <w:tab w:val="clear" w:pos="3742"/>
          <w:tab w:val="clear" w:pos="4082"/>
          <w:tab w:val="clear" w:pos="4366"/>
        </w:tabs>
        <w:jc w:val="both"/>
        <w:rPr>
          <w:sz w:val="32"/>
          <w:szCs w:val="32"/>
        </w:rPr>
      </w:pPr>
      <w:r w:rsidRPr="00BD4261">
        <w:rPr>
          <w:bCs/>
          <w:sz w:val="32"/>
          <w:szCs w:val="32"/>
        </w:rPr>
        <w:tab/>
        <w:t>1.</w:t>
      </w:r>
      <w:r w:rsidRPr="00BD4261">
        <w:rPr>
          <w:sz w:val="32"/>
          <w:szCs w:val="32"/>
        </w:rPr>
        <w:tab/>
      </w:r>
      <w:r w:rsidRPr="00BD4261">
        <w:rPr>
          <w:bCs/>
          <w:sz w:val="32"/>
          <w:szCs w:val="32"/>
        </w:rPr>
        <w:t>Загрязнение окружающей среды – изучение возможностей решения проблемы загрязнения окружающей среды, изменения климата и утраты биоразнообразия путем осуществления Базельской, Роттердамской и Стокгольмской конвенций</w:t>
      </w:r>
    </w:p>
    <w:p w14:paraId="6C997415"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Образование отходов и высвобождение опасных органических и неорганических химических веществ являются основными факторами глобальных изменений окружающей среды и представляют серьезную угрозу для экосистем, дикой природы и здоровья людей. Среди этих химических веществ СОЗ представляют особую опасность. Эти органические вещества обладают физическими и химическими свойствами, которые позволяют им оставаться в окружающей среде в течение многих лет, широко распространяться в результате естественных процессов (особенно по воздуху) и накапливаться в живых организмах, в том числе в организме человека. По мере продвижения по пищевой цепи их концентрация увеличивается как в дикой природе, так и в организме человека. Научные данные свидетельствуют о том, что длительное воздействие даже низкой концентрации СОЗ может привести к повышению </w:t>
      </w:r>
      <w:r w:rsidRPr="00BD4261">
        <w:rPr>
          <w:sz w:val="32"/>
          <w:szCs w:val="32"/>
        </w:rPr>
        <w:lastRenderedPageBreak/>
        <w:t xml:space="preserve">риска развития онкологических заболеваний, патологиям репродуктивной функции, нарушениям работы иммунной системы, </w:t>
      </w:r>
      <w:proofErr w:type="spellStart"/>
      <w:r w:rsidRPr="00BD4261">
        <w:rPr>
          <w:sz w:val="32"/>
          <w:szCs w:val="32"/>
        </w:rPr>
        <w:t>нейроповеденческим</w:t>
      </w:r>
      <w:proofErr w:type="spellEnd"/>
      <w:r w:rsidRPr="00BD4261">
        <w:rPr>
          <w:sz w:val="32"/>
          <w:szCs w:val="32"/>
        </w:rPr>
        <w:t xml:space="preserve"> отклонениям, нарушениям эндокринной системы, </w:t>
      </w:r>
      <w:proofErr w:type="spellStart"/>
      <w:r w:rsidRPr="00BD4261">
        <w:rPr>
          <w:sz w:val="32"/>
          <w:szCs w:val="32"/>
        </w:rPr>
        <w:t>генотоксичности</w:t>
      </w:r>
      <w:proofErr w:type="spellEnd"/>
      <w:r w:rsidRPr="00BD4261">
        <w:rPr>
          <w:sz w:val="32"/>
          <w:szCs w:val="32"/>
        </w:rPr>
        <w:t xml:space="preserve"> и увеличению числа врожденных патологий. Они могут добавляться в качестве присадок в пластмассах, а также присутствовать в различных областях промышленности и товарах широкого потребления, таких как текстиль, пищевая упаковка, огнетушащие пены, антипригарные покрытия, косметические средства, средства защиты растений и т. д.</w:t>
      </w:r>
    </w:p>
    <w:p w14:paraId="56074509"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Вредители и болезни растений могут стать причиной снижения урожайности и экономических потерь, и для решения этой проблемы широко используются химические пестициды, удобрения и пластмассы сельскохозяйственного назначения. Однако такие средства могут представлять высокие риски для здоровья людей и окружающей среды. В работе </w:t>
      </w:r>
      <w:proofErr w:type="spellStart"/>
      <w:r w:rsidRPr="00BD4261">
        <w:rPr>
          <w:sz w:val="32"/>
          <w:szCs w:val="32"/>
        </w:rPr>
        <w:t>Tang</w:t>
      </w:r>
      <w:proofErr w:type="spellEnd"/>
      <w:r w:rsidRPr="00BD4261">
        <w:rPr>
          <w:sz w:val="32"/>
          <w:szCs w:val="32"/>
        </w:rPr>
        <w:t xml:space="preserve"> </w:t>
      </w:r>
      <w:proofErr w:type="spellStart"/>
      <w:r w:rsidRPr="00BD4261">
        <w:rPr>
          <w:sz w:val="32"/>
          <w:szCs w:val="32"/>
        </w:rPr>
        <w:t>et</w:t>
      </w:r>
      <w:proofErr w:type="spellEnd"/>
      <w:r w:rsidRPr="00BD4261">
        <w:rPr>
          <w:sz w:val="32"/>
          <w:szCs w:val="32"/>
        </w:rPr>
        <w:t xml:space="preserve"> </w:t>
      </w:r>
      <w:proofErr w:type="spellStart"/>
      <w:r w:rsidRPr="00BD4261">
        <w:rPr>
          <w:sz w:val="32"/>
          <w:szCs w:val="32"/>
        </w:rPr>
        <w:t>al</w:t>
      </w:r>
      <w:proofErr w:type="spellEnd"/>
      <w:r w:rsidRPr="00BD4261">
        <w:rPr>
          <w:sz w:val="32"/>
          <w:szCs w:val="32"/>
        </w:rPr>
        <w:t>. (2021)</w:t>
      </w:r>
      <w:r w:rsidRPr="00BD4261">
        <w:rPr>
          <w:sz w:val="32"/>
          <w:szCs w:val="32"/>
          <w:vertAlign w:val="superscript"/>
        </w:rPr>
        <w:footnoteReference w:id="1"/>
      </w:r>
      <w:r w:rsidRPr="00BD4261">
        <w:rPr>
          <w:sz w:val="32"/>
          <w:szCs w:val="32"/>
        </w:rPr>
        <w:t xml:space="preserve"> показано, что 64 процента мировых сельскохозяйственных угодий подвержены риску загрязнения пестицидами, содержащими более одного активного вещества, а 31 процент – высокому риску загрязнения пестицидами, содержащими три или более активных веществ.</w:t>
      </w:r>
    </w:p>
    <w:p w14:paraId="6FF04A66"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Экспоненциальный рост объема отходов, образующихся во всем мире, а также их экологически небезопасное использование являются одним из основных источников загрязнения окружающей среды, что влечет за собой растущие издержки для здоровья населения, окружающей среды, социальной и экономической сфер.</w:t>
      </w:r>
    </w:p>
    <w:p w14:paraId="70632CFA"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Ежегодно в мире образуется два миллиарда тонн коммунально-бытовых твердых отходов; ожидается, что к 2050 году эта цифра удвоится</w:t>
      </w:r>
      <w:r w:rsidRPr="00BD4261">
        <w:rPr>
          <w:sz w:val="32"/>
          <w:szCs w:val="32"/>
          <w:vertAlign w:val="superscript"/>
        </w:rPr>
        <w:footnoteReference w:id="2"/>
      </w:r>
      <w:r w:rsidRPr="00BD4261">
        <w:rPr>
          <w:sz w:val="32"/>
          <w:szCs w:val="32"/>
        </w:rPr>
        <w:t>. Среди наиболее важных потоков отходов – пластиковые отходы и электронные отходы (э-отходы), объем которых в последние десятилетия резко возрос. В период с 2010 по 2019 год объем образования пластиковых отходов увеличился более чем в два раза, а э-</w:t>
      </w:r>
      <w:r w:rsidRPr="00BD4261">
        <w:rPr>
          <w:sz w:val="32"/>
          <w:szCs w:val="32"/>
        </w:rPr>
        <w:lastRenderedPageBreak/>
        <w:t>отходы являются одним из наиболее быстрорастущих потоков твердых отходов: по оценкам, в 2022 году было образовано 62 миллиона тонн таких отходов во всем мире</w:t>
      </w:r>
      <w:r w:rsidRPr="00BD4261">
        <w:rPr>
          <w:sz w:val="32"/>
          <w:szCs w:val="32"/>
          <w:vertAlign w:val="superscript"/>
        </w:rPr>
        <w:footnoteReference w:id="3"/>
      </w:r>
      <w:r w:rsidRPr="00BD4261">
        <w:rPr>
          <w:sz w:val="32"/>
          <w:szCs w:val="32"/>
        </w:rPr>
        <w:t xml:space="preserve">. Всего 22,3 процента из этих э-отходов были собраны и </w:t>
      </w:r>
      <w:proofErr w:type="spellStart"/>
      <w:r w:rsidRPr="00BD4261">
        <w:rPr>
          <w:sz w:val="32"/>
          <w:szCs w:val="32"/>
        </w:rPr>
        <w:t>рециркулированы</w:t>
      </w:r>
      <w:proofErr w:type="spellEnd"/>
      <w:r w:rsidRPr="00BD4261">
        <w:rPr>
          <w:sz w:val="32"/>
          <w:szCs w:val="32"/>
        </w:rPr>
        <w:t xml:space="preserve"> в установленном порядке</w:t>
      </w:r>
      <w:r w:rsidRPr="00BD4261">
        <w:rPr>
          <w:sz w:val="32"/>
          <w:szCs w:val="32"/>
          <w:vertAlign w:val="superscript"/>
        </w:rPr>
        <w:footnoteReference w:id="4"/>
      </w:r>
      <w:r w:rsidRPr="00BD4261">
        <w:rPr>
          <w:sz w:val="32"/>
          <w:szCs w:val="32"/>
        </w:rPr>
        <w:t>, что вызывает обеспокоенность.</w:t>
      </w:r>
    </w:p>
    <w:p w14:paraId="27C171D3"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Глобальная индустрия обращения с отходами превратилась в крупную экономическую отрасль, чей годовой объем оценивается примерно в 410 млрд долл. </w:t>
      </w:r>
      <w:proofErr w:type="gramStart"/>
      <w:r w:rsidRPr="00BD4261">
        <w:rPr>
          <w:sz w:val="32"/>
          <w:szCs w:val="32"/>
        </w:rPr>
        <w:t>США</w:t>
      </w:r>
      <w:proofErr w:type="gramEnd"/>
      <w:r w:rsidRPr="00BD4261">
        <w:rPr>
          <w:sz w:val="32"/>
          <w:szCs w:val="32"/>
        </w:rPr>
        <w:t xml:space="preserve"> и которая охватывает все виды деятельности – от сбора отходов до их рекуперации и окончательного удаления. Однако по состоянию на 2020 год обращение с 38 процентами коммунально-бытовых твердых отходов не осуществлялось надлежащим образом, а 2,7 млрд человек по-прежнему не имели доступа к базовым услугам по сбору отходов</w:t>
      </w:r>
      <w:r w:rsidRPr="00BD4261">
        <w:rPr>
          <w:sz w:val="32"/>
          <w:szCs w:val="32"/>
          <w:vertAlign w:val="superscript"/>
        </w:rPr>
        <w:footnoteReference w:id="5"/>
      </w:r>
      <w:r w:rsidRPr="00BD4261">
        <w:rPr>
          <w:sz w:val="32"/>
          <w:szCs w:val="32"/>
        </w:rPr>
        <w:t>.</w:t>
      </w:r>
    </w:p>
    <w:p w14:paraId="433880FF"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Загрязнение окружающей среды представляет собой признанную угрозу для биоразнообразия. Например, загрязнение пластмассами и микрочастицами пластмасс влияет на все экосистемы, включая морскую среду, где оно угрожает дикой природе и здоровью окружающей среды.</w:t>
      </w:r>
    </w:p>
    <w:p w14:paraId="69B98C34"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Химическая промышленность и отрасль обращения с отходами являются основными источниками глобальных выбросов парниковых газов (ПГ). Выбросы ПГ и высвобождение опасных химических веществ происходят на каждом этапе жизненного цикла химического вещества – от добычи и производства сырьевых материалов до использования и удаления. Это обстоятельство не только ускоряет изменение климата, но и подчеркивает важнейшую роль надлежащих методов обращения с отходами. В зависимости от подхода эти методы могут либо способствовать смягчению, либо усугублению воздействия на окружающую среду, что делает экологически </w:t>
      </w:r>
      <w:r w:rsidRPr="00BD4261">
        <w:rPr>
          <w:sz w:val="32"/>
          <w:szCs w:val="32"/>
        </w:rPr>
        <w:lastRenderedPageBreak/>
        <w:t>обоснованное обращение с отходами важнейшим фактором решения климатических проблем.</w:t>
      </w:r>
    </w:p>
    <w:p w14:paraId="0E44915E"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Экстремальные погодные явления, вызванные изменением климата, становятся все более частыми и суровыми, что приводит к увеличению высвобождения опасных химических веществ в окружающую среду. Перенос этих загрязнителей на большие расстояния в сочетании с более интенсивным воздействием на человека и окружающую среду повышает риск для здоровья и представляет серьезную угрозу для биоразнообразия. Повышение эффективности обращения с запасами опасных химических веществ и отходами имеет решающее значение для снижения уязвимости и сведения к минимуму рисков, связанных с экстремальными погодными явлениями.</w:t>
      </w:r>
    </w:p>
    <w:p w14:paraId="77897AE4"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Утрата биоразнообразия во многом обусловлена загрязнением окружающей среды опасными химическими веществами и отходами. Несмотря на это, мировое производство и использование химических веществ и торговля ими продолжают расширяться, чему способствуют такие глобальные тенденции, как рост населения и увеличение объемов производства и потребления. Особо опасные пестициды, многие из которых связаны с сокращением численности опылителей и дестабилизацией экосистем, по-прежнему широко используются, особенно в сельском хозяйстве. Эти химические вещества могут сохраняться в почве и водотоках, создавая долгосрочную угрозу биоразнообразию и продовольственной безопасности. Другие опасные химические вещества, включая химические вещества, нарушающие работу эндокринной системы, и загрязняющие вещества фармацевтического происхождения, высвобождаются в больших количествах и повсеместно присутствуют в организме человека и окружающей среде.</w:t>
      </w:r>
    </w:p>
    <w:p w14:paraId="703C826C"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bookmarkStart w:id="1" w:name="_Hlk182412288"/>
      <w:r w:rsidRPr="00BD4261">
        <w:rPr>
          <w:sz w:val="32"/>
          <w:szCs w:val="32"/>
        </w:rPr>
        <w:t xml:space="preserve">Решение проблем загрязнения, изменения климата и утраты биоразнообразия – коллективная глобальная задача, решение которой необходимо для сохранения нашей цивилизации. Всеобъемлющее осуществление Базельской, Роттердамской и Стокгольмской конвенций открывает </w:t>
      </w:r>
      <w:r w:rsidRPr="00BD4261">
        <w:rPr>
          <w:sz w:val="32"/>
          <w:szCs w:val="32"/>
        </w:rPr>
        <w:lastRenderedPageBreak/>
        <w:t>широкие возможности для устранения отдельных коренных причин, вызывающих эти кризисы. Возникает следующий вопрос: какие первоочередные действия необходимо предпринять в рамках каждой из этих конвенций, чтобы повысить их эффективность в борьбе с загрязнением, изменением климата и утратой биоразнообразия?</w:t>
      </w:r>
    </w:p>
    <w:p w14:paraId="5C646457" w14:textId="77777777" w:rsidR="00BD4261" w:rsidRPr="00BD4261" w:rsidRDefault="00BD4261" w:rsidP="00BD4261">
      <w:pPr>
        <w:pStyle w:val="Normalnumber"/>
        <w:numPr>
          <w:ilvl w:val="0"/>
          <w:numId w:val="0"/>
        </w:numPr>
        <w:tabs>
          <w:tab w:val="clear" w:pos="624"/>
          <w:tab w:val="clear" w:pos="1247"/>
          <w:tab w:val="clear" w:pos="2495"/>
          <w:tab w:val="clear" w:pos="3119"/>
          <w:tab w:val="clear" w:pos="3742"/>
          <w:tab w:val="clear" w:pos="4366"/>
          <w:tab w:val="right" w:pos="851"/>
        </w:tabs>
        <w:ind w:left="1247" w:right="284" w:hanging="1247"/>
        <w:jc w:val="both"/>
        <w:rPr>
          <w:sz w:val="32"/>
          <w:szCs w:val="32"/>
        </w:rPr>
      </w:pPr>
      <w:bookmarkStart w:id="2" w:name="_Hlk182399240"/>
      <w:bookmarkEnd w:id="1"/>
      <w:r w:rsidRPr="00BD4261">
        <w:rPr>
          <w:b/>
          <w:bCs/>
          <w:sz w:val="32"/>
          <w:szCs w:val="32"/>
        </w:rPr>
        <w:tab/>
      </w:r>
      <w:r w:rsidRPr="00BD4261">
        <w:rPr>
          <w:b/>
          <w:bCs/>
          <w:sz w:val="32"/>
          <w:szCs w:val="32"/>
          <w:lang w:val="en-US"/>
        </w:rPr>
        <w:t>a</w:t>
      </w:r>
      <w:r w:rsidRPr="00BD4261">
        <w:rPr>
          <w:b/>
          <w:bCs/>
          <w:sz w:val="32"/>
          <w:szCs w:val="32"/>
        </w:rPr>
        <w:t>)</w:t>
      </w:r>
      <w:r w:rsidRPr="00BD4261">
        <w:rPr>
          <w:b/>
          <w:bCs/>
          <w:sz w:val="32"/>
          <w:szCs w:val="32"/>
        </w:rPr>
        <w:tab/>
        <w:t xml:space="preserve">Наводящие вопросы, которые можно рассмотреть в рамках данной </w:t>
      </w:r>
      <w:proofErr w:type="spellStart"/>
      <w:r w:rsidRPr="00BD4261">
        <w:rPr>
          <w:b/>
          <w:bCs/>
          <w:sz w:val="32"/>
          <w:szCs w:val="32"/>
        </w:rPr>
        <w:t>подтемы</w:t>
      </w:r>
      <w:proofErr w:type="spellEnd"/>
      <w:r w:rsidRPr="00BD4261">
        <w:rPr>
          <w:b/>
          <w:bCs/>
          <w:sz w:val="32"/>
          <w:szCs w:val="32"/>
        </w:rPr>
        <w:t xml:space="preserve"> в ходе обсуждения в формате круглого стола</w:t>
      </w:r>
    </w:p>
    <w:p w14:paraId="126A483B"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Как цели и обязательства, предусмотренные в рамках Базельской, Роттердамской и Стокгольмской конвенций, можно укрепить в национальных стратегиях развития вашей страны, в определяемых на национальном уровне вкладах в рамках Парижского соглашения, а также в национальной стратегии и планах действий по биоразнообразию в рамках Конвенции о биологическом разнообразии?</w:t>
      </w:r>
    </w:p>
    <w:p w14:paraId="1261C51F"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Какие стратегии приняла ваша страна, чтобы устранить разрыв между политикой и практикой в деле осуществления этих конвенций в интересах сокращения масштабов загрязнения?</w:t>
      </w:r>
    </w:p>
    <w:p w14:paraId="4BD3E6E4"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Каким образом осуществление Базельской конвенции в вашей стране способствовало появлению инновационных мер, мер политики и инвестиций, способствующих экологически обоснованному обращению с отходами и сокращению масштабов загрязнения окружающей среды?</w:t>
      </w:r>
    </w:p>
    <w:p w14:paraId="1B4D8E40"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rFonts w:eastAsiaTheme="minorEastAsia"/>
          <w:sz w:val="32"/>
          <w:szCs w:val="32"/>
        </w:rPr>
      </w:pPr>
      <w:r w:rsidRPr="00BD4261">
        <w:rPr>
          <w:sz w:val="32"/>
          <w:szCs w:val="32"/>
        </w:rPr>
        <w:t>Каким образом осуществление Роттердамской конвенции в вашей стране способствовало принятию новых мер, стратегий или действий, направленных на обеспечение более безопасной торговли, использования опасных химических веществ и пестицидов и обращения с ними, тем самым сводя к минимуму их воздействие на окружающую среду и здоровье людей?</w:t>
      </w:r>
    </w:p>
    <w:p w14:paraId="0956E36D"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Как ваша страна применяет Роттердамскую конвенцию для содействия обмену информацией и более эффективного обоснования процесса принятия решений на национальном уровне с целью сведения к минимуму </w:t>
      </w:r>
      <w:r w:rsidRPr="00BD4261">
        <w:rPr>
          <w:sz w:val="32"/>
          <w:szCs w:val="32"/>
        </w:rPr>
        <w:lastRenderedPageBreak/>
        <w:t>загрязнения определенными опасными пестицидами и промышленными химическими веществами?</w:t>
      </w:r>
    </w:p>
    <w:p w14:paraId="655F8C96"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Какую роль играет Стокгольмская конвенция в вашей стране в содействии замещению СОЗ более безопасными альтернативами и обеспечении экологически обоснованного обращения с отходами СОЗ? Как это влияет на инновации в промышленности?</w:t>
      </w:r>
    </w:p>
    <w:p w14:paraId="1DA134FB"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Сталкивается ли ваша страна с трудностями при совмещении экологических обязательств в рамках различных многосторонних соглашений? Например, усилия по замещению холодильного оборудования с низкой энергоэффективностью, в котором используются </w:t>
      </w:r>
      <w:proofErr w:type="spellStart"/>
      <w:r w:rsidRPr="00BD4261">
        <w:rPr>
          <w:sz w:val="32"/>
          <w:szCs w:val="32"/>
        </w:rPr>
        <w:t>озоноразрушающие</w:t>
      </w:r>
      <w:proofErr w:type="spellEnd"/>
      <w:r w:rsidRPr="00BD4261">
        <w:rPr>
          <w:sz w:val="32"/>
          <w:szCs w:val="32"/>
        </w:rPr>
        <w:t xml:space="preserve"> вещества, могут способствовать достижению целей </w:t>
      </w:r>
      <w:proofErr w:type="spellStart"/>
      <w:r w:rsidRPr="00BD4261">
        <w:rPr>
          <w:sz w:val="32"/>
          <w:szCs w:val="32"/>
        </w:rPr>
        <w:t>Монреальского</w:t>
      </w:r>
      <w:proofErr w:type="spellEnd"/>
      <w:r w:rsidRPr="00BD4261">
        <w:rPr>
          <w:sz w:val="32"/>
          <w:szCs w:val="32"/>
        </w:rPr>
        <w:t xml:space="preserve"> протокола по веществам, разрушающим озоновый слой, и Парижского соглашения, но при этом могут привести к увеличению образования опасных отходов. Каким образом регулируются эти компромиссные решения?</w:t>
      </w:r>
    </w:p>
    <w:p w14:paraId="4C7A3688"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Какие шаги предпринимает ваша страна для развития потенциала и накопления экспертных знаний в общинах, непосредственно пострадавших от загрязнения, чтобы обеспечить их роль в достижении целей этих конвенций?</w:t>
      </w:r>
    </w:p>
    <w:p w14:paraId="078AE5D6"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Как можно сделать воздействие этих конвенций более заметным в вашей стране, подчеркнув их часто упускаемую из виду роль в решении проблем загрязнения, изменения климата и утраты биоразнообразия? Как ваша страна использует достижения в области технологий, такие как цифровые системы слежения и искусственный интеллект, для более эффективного осуществления этих конвенций, а также выполнения положений о мониторинге и представлении сведений?</w:t>
      </w:r>
    </w:p>
    <w:p w14:paraId="76A001D4" w14:textId="77777777" w:rsidR="00BD4261" w:rsidRPr="00BD4261" w:rsidRDefault="00BD4261" w:rsidP="00BD4261">
      <w:pPr>
        <w:pStyle w:val="Normalnumber"/>
        <w:numPr>
          <w:ilvl w:val="0"/>
          <w:numId w:val="0"/>
        </w:numPr>
        <w:tabs>
          <w:tab w:val="clear" w:pos="624"/>
          <w:tab w:val="clear" w:pos="1247"/>
          <w:tab w:val="clear" w:pos="2495"/>
          <w:tab w:val="clear" w:pos="3119"/>
          <w:tab w:val="clear" w:pos="3742"/>
          <w:tab w:val="clear" w:pos="4366"/>
          <w:tab w:val="right" w:pos="851"/>
        </w:tabs>
        <w:ind w:left="1247" w:right="284" w:hanging="1247"/>
        <w:jc w:val="both"/>
        <w:rPr>
          <w:b/>
          <w:bCs/>
          <w:sz w:val="32"/>
          <w:szCs w:val="32"/>
        </w:rPr>
      </w:pPr>
      <w:r w:rsidRPr="00BD4261">
        <w:rPr>
          <w:b/>
          <w:bCs/>
          <w:sz w:val="32"/>
          <w:szCs w:val="32"/>
        </w:rPr>
        <w:tab/>
      </w:r>
      <w:r w:rsidRPr="00BD4261">
        <w:rPr>
          <w:b/>
          <w:bCs/>
          <w:sz w:val="32"/>
          <w:szCs w:val="32"/>
          <w:lang w:val="en-US"/>
        </w:rPr>
        <w:t>b</w:t>
      </w:r>
      <w:r w:rsidRPr="00BD4261">
        <w:rPr>
          <w:b/>
          <w:bCs/>
          <w:sz w:val="32"/>
          <w:szCs w:val="32"/>
        </w:rPr>
        <w:t>)</w:t>
      </w:r>
      <w:r w:rsidRPr="00BD4261">
        <w:rPr>
          <w:b/>
          <w:bCs/>
          <w:sz w:val="32"/>
          <w:szCs w:val="32"/>
        </w:rPr>
        <w:tab/>
        <w:t xml:space="preserve">Наводящие вопросы для обсуждения этой </w:t>
      </w:r>
      <w:proofErr w:type="spellStart"/>
      <w:r w:rsidRPr="00BD4261">
        <w:rPr>
          <w:b/>
          <w:bCs/>
          <w:sz w:val="32"/>
          <w:szCs w:val="32"/>
        </w:rPr>
        <w:t>подтемы</w:t>
      </w:r>
      <w:proofErr w:type="spellEnd"/>
      <w:r w:rsidRPr="00BD4261">
        <w:rPr>
          <w:b/>
          <w:bCs/>
          <w:sz w:val="32"/>
          <w:szCs w:val="32"/>
        </w:rPr>
        <w:t xml:space="preserve"> на интерактивных панельных дискуссиях</w:t>
      </w:r>
    </w:p>
    <w:p w14:paraId="73731FF8"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Какие имеются возможности для достижения целей Базельской, Роттердамской и Стокгольмской конвенций по борьбе с загрязнением, изменением климата и утратой </w:t>
      </w:r>
      <w:r w:rsidRPr="00BD4261">
        <w:rPr>
          <w:sz w:val="32"/>
          <w:szCs w:val="32"/>
        </w:rPr>
        <w:lastRenderedPageBreak/>
        <w:t>биоразнообразия на глобальном и региональном уровнях и как ими можно воспользоваться?</w:t>
      </w:r>
    </w:p>
    <w:p w14:paraId="229E53F9"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Как оказать развивающимся странам и странам с переходной экономикой более эффективную поддержку в выполнении Базельской, Роттердамской и Стокгольмской конвенций и борьбе с загрязнением окружающей среды так, чтобы это способствовало решению проблем изменения климата и утраты биоразнообразия?</w:t>
      </w:r>
    </w:p>
    <w:p w14:paraId="2F083A12"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Каким образом осуществление Базельской, Роттердамской и Стокгольмской конвенций может способствовать достижению целей других многосторонних природоохранных соглашений и рамочных договоров, таких как Парижское соглашение и </w:t>
      </w:r>
      <w:proofErr w:type="spellStart"/>
      <w:r w:rsidRPr="00BD4261">
        <w:rPr>
          <w:sz w:val="32"/>
          <w:szCs w:val="32"/>
        </w:rPr>
        <w:t>Куньминско</w:t>
      </w:r>
      <w:r w:rsidRPr="00BD4261">
        <w:rPr>
          <w:sz w:val="32"/>
          <w:szCs w:val="32"/>
        </w:rPr>
        <w:noBreakHyphen/>
        <w:t>Монреальская</w:t>
      </w:r>
      <w:proofErr w:type="spellEnd"/>
      <w:r w:rsidRPr="00BD4261">
        <w:rPr>
          <w:sz w:val="32"/>
          <w:szCs w:val="32"/>
        </w:rPr>
        <w:t xml:space="preserve"> глобальная рамочная программа в области биоразнообразия, а также разрабатываемый имеющий обязательную юридическую силу международный договор о борьбе с загрязнением пластмассами, в том числе в морской среде, и в рамках научно</w:t>
      </w:r>
      <w:r w:rsidRPr="00BD4261">
        <w:rPr>
          <w:sz w:val="32"/>
          <w:szCs w:val="32"/>
        </w:rPr>
        <w:noBreakHyphen/>
        <w:t>политической группы?</w:t>
      </w:r>
    </w:p>
    <w:p w14:paraId="69A88A5F"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Как более эффективно вовлекать негосударственные субъекты, включая НПО и субъекты частного сектора, в процесс осуществления, чтобы обеспечить целостный подход к регулированию загрязнения?</w:t>
      </w:r>
    </w:p>
    <w:bookmarkEnd w:id="2"/>
    <w:p w14:paraId="01D14372" w14:textId="77777777" w:rsidR="00BD4261" w:rsidRPr="00BD4261" w:rsidRDefault="00BD4261" w:rsidP="00BD4261">
      <w:pPr>
        <w:pStyle w:val="CH3"/>
        <w:keepNext w:val="0"/>
        <w:keepLines w:val="0"/>
        <w:tabs>
          <w:tab w:val="clear" w:pos="624"/>
          <w:tab w:val="clear" w:pos="1247"/>
          <w:tab w:val="clear" w:pos="1871"/>
          <w:tab w:val="clear" w:pos="2495"/>
          <w:tab w:val="clear" w:pos="3119"/>
          <w:tab w:val="clear" w:pos="3742"/>
          <w:tab w:val="clear" w:pos="4082"/>
          <w:tab w:val="clear" w:pos="4366"/>
        </w:tabs>
        <w:jc w:val="both"/>
        <w:rPr>
          <w:sz w:val="32"/>
          <w:szCs w:val="32"/>
        </w:rPr>
      </w:pPr>
      <w:r w:rsidRPr="00BD4261">
        <w:rPr>
          <w:bCs/>
          <w:sz w:val="32"/>
          <w:szCs w:val="32"/>
        </w:rPr>
        <w:tab/>
        <w:t>2.</w:t>
      </w:r>
      <w:r w:rsidRPr="00BD4261">
        <w:rPr>
          <w:sz w:val="32"/>
          <w:szCs w:val="32"/>
        </w:rPr>
        <w:tab/>
      </w:r>
      <w:proofErr w:type="spellStart"/>
      <w:r w:rsidRPr="00BD4261">
        <w:rPr>
          <w:bCs/>
          <w:sz w:val="32"/>
          <w:szCs w:val="32"/>
        </w:rPr>
        <w:t>Многооборотность</w:t>
      </w:r>
      <w:proofErr w:type="spellEnd"/>
      <w:r w:rsidRPr="00BD4261">
        <w:rPr>
          <w:bCs/>
          <w:sz w:val="32"/>
          <w:szCs w:val="32"/>
        </w:rPr>
        <w:t xml:space="preserve"> – изучение возможностей, обеспечиваемых Базельской, Роттердамской и Стокгольмской конвенциями, для популяризации </w:t>
      </w:r>
      <w:proofErr w:type="spellStart"/>
      <w:r w:rsidRPr="00BD4261">
        <w:rPr>
          <w:bCs/>
          <w:sz w:val="32"/>
          <w:szCs w:val="32"/>
        </w:rPr>
        <w:t>многооборотности</w:t>
      </w:r>
      <w:proofErr w:type="spellEnd"/>
    </w:p>
    <w:p w14:paraId="5415133A"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ЮНЕП описывает </w:t>
      </w:r>
      <w:proofErr w:type="spellStart"/>
      <w:r w:rsidRPr="00BD4261">
        <w:rPr>
          <w:sz w:val="32"/>
          <w:szCs w:val="32"/>
        </w:rPr>
        <w:t>многооборотность</w:t>
      </w:r>
      <w:proofErr w:type="spellEnd"/>
      <w:r w:rsidRPr="00BD4261">
        <w:rPr>
          <w:sz w:val="32"/>
          <w:szCs w:val="32"/>
        </w:rPr>
        <w:t xml:space="preserve"> как преобразовательный подход, который бросает вызов текущей модели хозяйственной деятельности, ставя во главу угла непрерывное сокращение, многократное использование, восстановительный ремонт и рециркуляцию изделий и материалов.</w:t>
      </w:r>
    </w:p>
    <w:p w14:paraId="478F755C"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Осуществление Базельской конвенции может существенно содействовать </w:t>
      </w:r>
      <w:proofErr w:type="spellStart"/>
      <w:r w:rsidRPr="00BD4261">
        <w:rPr>
          <w:sz w:val="32"/>
          <w:szCs w:val="32"/>
        </w:rPr>
        <w:t>многооборотности</w:t>
      </w:r>
      <w:proofErr w:type="spellEnd"/>
      <w:r w:rsidRPr="00BD4261">
        <w:rPr>
          <w:sz w:val="32"/>
          <w:szCs w:val="32"/>
        </w:rPr>
        <w:t xml:space="preserve"> за счет создания имеющей обязательную юридическую силу глобальной системы экологически обоснованного обращения с опасными и другими отходами. Конвенция </w:t>
      </w:r>
      <w:r w:rsidRPr="00BD4261">
        <w:rPr>
          <w:sz w:val="32"/>
          <w:szCs w:val="32"/>
        </w:rPr>
        <w:lastRenderedPageBreak/>
        <w:t>стимулирует меры по предотвращению и сведению к минимуму образования опасных и других отходов, а также усилия по обеспечению их экологически обоснованного регулирования в соответствии с иерархией обращения с отходами.</w:t>
      </w:r>
    </w:p>
    <w:p w14:paraId="65961A5E"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Механизмы, предусмотренные Конвенцией, в соответствии с иерархией обращения с отходами, помогают определить приоритетные задачи в части предотвращения образования отходов, включая многократное использование, рециркуляцию, рекуперацию и надлежащее окончательное удаление, что соответствует принципам </w:t>
      </w:r>
      <w:proofErr w:type="spellStart"/>
      <w:r w:rsidRPr="00BD4261">
        <w:rPr>
          <w:sz w:val="32"/>
          <w:szCs w:val="32"/>
        </w:rPr>
        <w:t>многооборотности</w:t>
      </w:r>
      <w:proofErr w:type="spellEnd"/>
      <w:r w:rsidRPr="00BD4261">
        <w:rPr>
          <w:sz w:val="32"/>
          <w:szCs w:val="32"/>
        </w:rPr>
        <w:t>. Такие действия могут способствовать снижению спроса на первичные ресурсы, уменьшению воздействия на окружающую среду и созданию рациональной многооборотной системы, в которой материалы многократно используются по прямому и альтернативному назначению в течение длительного времени.</w:t>
      </w:r>
    </w:p>
    <w:p w14:paraId="4A7E8115"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Осуществление Роттердамской конвенции также может способствовать популяризации принципа </w:t>
      </w:r>
      <w:proofErr w:type="spellStart"/>
      <w:r w:rsidRPr="00BD4261">
        <w:rPr>
          <w:sz w:val="32"/>
          <w:szCs w:val="32"/>
        </w:rPr>
        <w:t>многооборотности</w:t>
      </w:r>
      <w:proofErr w:type="spellEnd"/>
      <w:r w:rsidRPr="00BD4261">
        <w:rPr>
          <w:sz w:val="32"/>
          <w:szCs w:val="32"/>
        </w:rPr>
        <w:t xml:space="preserve">, обеспечивая надежное и обоснованное обращение с опасными химическими веществами и пестицидами в международной торговле. Предусмотренная Конвенцией процедура предварительного обоснованного согласия (ПОС) представляет собой механизм официального получения и распространения решений импортирующих Сторон об их желании получать в будущем поставки химических веществ, включенных в приложение III к Конвенции, и обеспечения соблюдения этих решений экспортерами. Она позволяет странам принимать взвешенные решения о ввозе таких химических веществ, что помогает предотвратить импорт потенциально вредных химических веществ и их добавление в состав продукции, которая в итоге может попасть в категорию отходов. Такой контроль над импортом позволяет гарантировать, что пригодные для рециркуляции материалы не содержат в своем составе веществ, которые могут подорвать безопасность и рациональность рециркуляции. </w:t>
      </w:r>
    </w:p>
    <w:p w14:paraId="722AE2E9"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lastRenderedPageBreak/>
        <w:t>Конвенция также повышает осведомленность общественности о рисках, связанных с отдельными опасными промышленными химическими веществами и пестицидами, тем самым помогая защитить работников, фермеров, потребителей и другие заинтересованные стороны от воздействия, а также побуждая промышленность и правительства к поиску более безопасных альтернатив. Это может быть особенно актуально в сельскохозяйственном секторе. Осуществляемый в рамках Конвенции надзор за опасными пестицидами способствует внедрению более безопасных методов ведения сельского хозяйства, включая комплексное регулирование пестицидов (КРП) и биопестициды. Он позволяет снизить содержание остатков пестицидов в продукции, а также в органических отходах, которые затем можно использовать в качестве компоста или корма для животных, интегрируя экологичные методы в подходы на основе многооборотной хозяйственной деятельности. Он также способствует снижению воздействия сельского хозяйства на окружающую среду и содействует ресурсосберегающему использованию сельскохозяйственной продукции.</w:t>
      </w:r>
    </w:p>
    <w:p w14:paraId="724FEE24"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Осуществление Стокгольмской конвенции также играет важную роль в популяризации </w:t>
      </w:r>
      <w:proofErr w:type="spellStart"/>
      <w:r w:rsidRPr="00BD4261">
        <w:rPr>
          <w:sz w:val="32"/>
          <w:szCs w:val="32"/>
        </w:rPr>
        <w:t>многооборотности</w:t>
      </w:r>
      <w:proofErr w:type="spellEnd"/>
      <w:r w:rsidRPr="00BD4261">
        <w:rPr>
          <w:sz w:val="32"/>
          <w:szCs w:val="32"/>
        </w:rPr>
        <w:t xml:space="preserve"> благодаря решению вопросов регулирования и ликвидации СОЗ. Например, наличие СОЗ в таких потоках отходов, как э-отходы, пластиковые и текстильные отходы, затрудняет процесс рециркуляции. Стокгольмская конвенция предписывает выявлять и надлежащим образом регулировать отходы, содержащие СОЗ, и следить за тем, чтобы предприятия по рециркуляции отходов не допускали непреднамеренного высвобождения вредных химических веществ в окружающую среду и не создавали загрязненную </w:t>
      </w:r>
      <w:proofErr w:type="spellStart"/>
      <w:r w:rsidRPr="00BD4261">
        <w:rPr>
          <w:sz w:val="32"/>
          <w:szCs w:val="32"/>
        </w:rPr>
        <w:t>рециркулированную</w:t>
      </w:r>
      <w:proofErr w:type="spellEnd"/>
      <w:r w:rsidRPr="00BD4261">
        <w:rPr>
          <w:sz w:val="32"/>
          <w:szCs w:val="32"/>
        </w:rPr>
        <w:t xml:space="preserve"> продукцию. Кроме того, осуществление Конвенции стимулирует разработку и внедрение более безопасных, нетоксичных альтернатив СОЗ в промышленные и потребительские товары. Эти меры помогают сформировать цикл, в котором материалы могут в течение длительного времени многократно использоваться без риска для здоровья человека и окружающей среды, что </w:t>
      </w:r>
      <w:r w:rsidRPr="00BD4261">
        <w:rPr>
          <w:sz w:val="32"/>
          <w:szCs w:val="32"/>
        </w:rPr>
        <w:lastRenderedPageBreak/>
        <w:t>способствует переходу к более рациональной и ресурсосберегающей глобальной хозяйственной деятельности.</w:t>
      </w:r>
    </w:p>
    <w:p w14:paraId="7F6FD1B0"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Популяризация принципов </w:t>
      </w:r>
      <w:proofErr w:type="spellStart"/>
      <w:r w:rsidRPr="00BD4261">
        <w:rPr>
          <w:sz w:val="32"/>
          <w:szCs w:val="32"/>
        </w:rPr>
        <w:t>многооборотности</w:t>
      </w:r>
      <w:proofErr w:type="spellEnd"/>
      <w:r w:rsidRPr="00BD4261">
        <w:rPr>
          <w:sz w:val="32"/>
          <w:szCs w:val="32"/>
        </w:rPr>
        <w:t xml:space="preserve"> представляется неизбежной в мире с ограниченными ресурсами, в частности минеральными, необходимыми для перехода к чистым видам энергии. Кроме того, они могут открыть возможности для инновационного развития. Всеобъемлющее осуществление Базельской, Роттердамской и Стокгольмской конвенций создает широкие возможности для развития </w:t>
      </w:r>
      <w:proofErr w:type="spellStart"/>
      <w:r w:rsidRPr="00BD4261">
        <w:rPr>
          <w:sz w:val="32"/>
          <w:szCs w:val="32"/>
        </w:rPr>
        <w:t>многооборотности</w:t>
      </w:r>
      <w:proofErr w:type="spellEnd"/>
      <w:r w:rsidRPr="00BD4261">
        <w:rPr>
          <w:sz w:val="32"/>
          <w:szCs w:val="32"/>
        </w:rPr>
        <w:t xml:space="preserve">. Возникает следующий вопрос: какие первоочередные действия необходимо предпринять в рамках каждой из этих конвенций, чтобы повысить их эффективность в популяризации принципов </w:t>
      </w:r>
      <w:proofErr w:type="spellStart"/>
      <w:r w:rsidRPr="00BD4261">
        <w:rPr>
          <w:sz w:val="32"/>
          <w:szCs w:val="32"/>
        </w:rPr>
        <w:t>многооборотности</w:t>
      </w:r>
      <w:proofErr w:type="spellEnd"/>
      <w:r w:rsidRPr="00BD4261">
        <w:rPr>
          <w:sz w:val="32"/>
          <w:szCs w:val="32"/>
        </w:rPr>
        <w:t>?</w:t>
      </w:r>
    </w:p>
    <w:p w14:paraId="7FCC3B74" w14:textId="77777777" w:rsidR="00BD4261" w:rsidRPr="00BD4261" w:rsidRDefault="00BD4261" w:rsidP="00BD4261">
      <w:pPr>
        <w:pStyle w:val="Normalnumber"/>
        <w:numPr>
          <w:ilvl w:val="0"/>
          <w:numId w:val="0"/>
        </w:numPr>
        <w:tabs>
          <w:tab w:val="clear" w:pos="624"/>
          <w:tab w:val="clear" w:pos="1247"/>
          <w:tab w:val="clear" w:pos="2495"/>
          <w:tab w:val="clear" w:pos="3119"/>
          <w:tab w:val="clear" w:pos="3742"/>
          <w:tab w:val="clear" w:pos="4366"/>
          <w:tab w:val="right" w:pos="851"/>
        </w:tabs>
        <w:ind w:left="1247" w:right="284" w:hanging="1247"/>
        <w:jc w:val="both"/>
        <w:rPr>
          <w:b/>
          <w:bCs/>
          <w:sz w:val="32"/>
          <w:szCs w:val="32"/>
        </w:rPr>
      </w:pPr>
      <w:r w:rsidRPr="00BD4261">
        <w:rPr>
          <w:b/>
          <w:bCs/>
          <w:sz w:val="32"/>
          <w:szCs w:val="32"/>
        </w:rPr>
        <w:tab/>
      </w:r>
      <w:r w:rsidRPr="00BD4261">
        <w:rPr>
          <w:b/>
          <w:bCs/>
          <w:sz w:val="32"/>
          <w:szCs w:val="32"/>
          <w:lang w:val="en-US"/>
        </w:rPr>
        <w:t>a</w:t>
      </w:r>
      <w:r w:rsidRPr="00BD4261">
        <w:rPr>
          <w:b/>
          <w:bCs/>
          <w:sz w:val="32"/>
          <w:szCs w:val="32"/>
        </w:rPr>
        <w:t>)</w:t>
      </w:r>
      <w:r w:rsidRPr="00BD4261">
        <w:rPr>
          <w:b/>
          <w:bCs/>
          <w:sz w:val="32"/>
          <w:szCs w:val="32"/>
        </w:rPr>
        <w:tab/>
        <w:t xml:space="preserve">Наводящие вопросы для обсуждения этой </w:t>
      </w:r>
      <w:proofErr w:type="spellStart"/>
      <w:r w:rsidRPr="00BD4261">
        <w:rPr>
          <w:b/>
          <w:bCs/>
          <w:sz w:val="32"/>
          <w:szCs w:val="32"/>
        </w:rPr>
        <w:t>подтемы</w:t>
      </w:r>
      <w:proofErr w:type="spellEnd"/>
      <w:r w:rsidRPr="00BD4261">
        <w:rPr>
          <w:b/>
          <w:bCs/>
          <w:sz w:val="32"/>
          <w:szCs w:val="32"/>
        </w:rPr>
        <w:t xml:space="preserve"> в формате круглого стола</w:t>
      </w:r>
    </w:p>
    <w:p w14:paraId="5911CE58"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Какие конкретные возможности Базельская, Роттердамская и Стокгольмская конвенции создают в вашей стране для повышения эффективности использования ресурсов и сокращения образования отходов?</w:t>
      </w:r>
    </w:p>
    <w:p w14:paraId="1B25F3E4"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Какие успешные политические механизмы, которые содействуют в том числе достижению целей Базельской конвенции и </w:t>
      </w:r>
      <w:proofErr w:type="spellStart"/>
      <w:r w:rsidRPr="00BD4261">
        <w:rPr>
          <w:sz w:val="32"/>
          <w:szCs w:val="32"/>
        </w:rPr>
        <w:t>многооборотности</w:t>
      </w:r>
      <w:proofErr w:type="spellEnd"/>
      <w:r w:rsidRPr="00BD4261">
        <w:rPr>
          <w:sz w:val="32"/>
          <w:szCs w:val="32"/>
        </w:rPr>
        <w:t xml:space="preserve">, внедряются в вашей стране? Как Роттердамская конвенция помогает вашей стране принимать обоснованные решения и внедрять более безопасные методы, соответствующую принципу </w:t>
      </w:r>
      <w:proofErr w:type="spellStart"/>
      <w:r w:rsidRPr="00BD4261">
        <w:rPr>
          <w:sz w:val="32"/>
          <w:szCs w:val="32"/>
        </w:rPr>
        <w:t>многооборотности</w:t>
      </w:r>
      <w:proofErr w:type="spellEnd"/>
      <w:r w:rsidRPr="00BD4261">
        <w:rPr>
          <w:sz w:val="32"/>
          <w:szCs w:val="32"/>
        </w:rPr>
        <w:t>?</w:t>
      </w:r>
    </w:p>
    <w:p w14:paraId="1A0A3737"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Какие стратегии, предусмотренные Стокгольмской конвенцией, используются в вашей стране для поэтапного вывода из обращения СОЗ и содействия использованию нетоксичных материалов в производственных циклах?</w:t>
      </w:r>
    </w:p>
    <w:p w14:paraId="14F4F41A" w14:textId="77777777" w:rsidR="00BD4261" w:rsidRPr="00BD4261" w:rsidRDefault="00BD4261" w:rsidP="00BD4261">
      <w:pPr>
        <w:pStyle w:val="Normalnumber"/>
        <w:numPr>
          <w:ilvl w:val="0"/>
          <w:numId w:val="0"/>
        </w:numPr>
        <w:tabs>
          <w:tab w:val="clear" w:pos="624"/>
          <w:tab w:val="clear" w:pos="1247"/>
          <w:tab w:val="clear" w:pos="2495"/>
          <w:tab w:val="clear" w:pos="3119"/>
          <w:tab w:val="clear" w:pos="3742"/>
          <w:tab w:val="clear" w:pos="4366"/>
          <w:tab w:val="right" w:pos="851"/>
        </w:tabs>
        <w:ind w:left="1247" w:right="284" w:hanging="1247"/>
        <w:jc w:val="both"/>
        <w:rPr>
          <w:b/>
          <w:bCs/>
          <w:sz w:val="32"/>
          <w:szCs w:val="32"/>
        </w:rPr>
      </w:pPr>
      <w:r w:rsidRPr="00BD4261">
        <w:rPr>
          <w:b/>
          <w:bCs/>
          <w:sz w:val="32"/>
          <w:szCs w:val="32"/>
        </w:rPr>
        <w:tab/>
      </w:r>
      <w:r w:rsidRPr="00BD4261">
        <w:rPr>
          <w:b/>
          <w:bCs/>
          <w:sz w:val="32"/>
          <w:szCs w:val="32"/>
          <w:lang w:val="en-US"/>
        </w:rPr>
        <w:t>b</w:t>
      </w:r>
      <w:r w:rsidRPr="00BD4261">
        <w:rPr>
          <w:b/>
          <w:bCs/>
          <w:sz w:val="32"/>
          <w:szCs w:val="32"/>
        </w:rPr>
        <w:t>)</w:t>
      </w:r>
      <w:r w:rsidRPr="00BD4261">
        <w:rPr>
          <w:b/>
          <w:bCs/>
          <w:sz w:val="32"/>
          <w:szCs w:val="32"/>
        </w:rPr>
        <w:tab/>
        <w:t xml:space="preserve">Наводящие вопросы для обсуждения этой </w:t>
      </w:r>
      <w:proofErr w:type="spellStart"/>
      <w:r w:rsidRPr="00BD4261">
        <w:rPr>
          <w:b/>
          <w:bCs/>
          <w:sz w:val="32"/>
          <w:szCs w:val="32"/>
        </w:rPr>
        <w:t>подтемы</w:t>
      </w:r>
      <w:proofErr w:type="spellEnd"/>
      <w:r w:rsidRPr="00BD4261">
        <w:rPr>
          <w:b/>
          <w:bCs/>
          <w:sz w:val="32"/>
          <w:szCs w:val="32"/>
        </w:rPr>
        <w:t xml:space="preserve"> на интерактивных панельных дискуссиях</w:t>
      </w:r>
    </w:p>
    <w:p w14:paraId="144548FD"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Как развивающиеся страны могут преодолеть такие барьеры, как ограниченная инфраструктура и технические знания, чтобы лучше согласовываться с концепцией </w:t>
      </w:r>
      <w:proofErr w:type="spellStart"/>
      <w:r w:rsidRPr="00BD4261">
        <w:rPr>
          <w:sz w:val="32"/>
          <w:szCs w:val="32"/>
        </w:rPr>
        <w:lastRenderedPageBreak/>
        <w:t>многооборотности</w:t>
      </w:r>
      <w:proofErr w:type="spellEnd"/>
      <w:r w:rsidRPr="00BD4261">
        <w:rPr>
          <w:sz w:val="32"/>
          <w:szCs w:val="32"/>
        </w:rPr>
        <w:t xml:space="preserve"> посредством осуществления Базельской, Роттердамской и Стокгольмской конвенций?</w:t>
      </w:r>
    </w:p>
    <w:p w14:paraId="410DC696"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Какие меры по созданию потенциала необходимы для того, чтобы страны, в частности развивающиеся, могли осуществлять эти конвенции таким образом, чтобы они способствовали достижению целей </w:t>
      </w:r>
      <w:proofErr w:type="spellStart"/>
      <w:r w:rsidRPr="00BD4261">
        <w:rPr>
          <w:sz w:val="32"/>
          <w:szCs w:val="32"/>
        </w:rPr>
        <w:t>многооборотности</w:t>
      </w:r>
      <w:proofErr w:type="spellEnd"/>
      <w:r w:rsidRPr="00BD4261">
        <w:rPr>
          <w:sz w:val="32"/>
          <w:szCs w:val="32"/>
        </w:rPr>
        <w:t>?</w:t>
      </w:r>
    </w:p>
    <w:p w14:paraId="48883691"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Как можно использовать достижения в области технологий обработки отходов для осуществления Базельской конвенции и обеспечения </w:t>
      </w:r>
      <w:proofErr w:type="spellStart"/>
      <w:r w:rsidRPr="00BD4261">
        <w:rPr>
          <w:sz w:val="32"/>
          <w:szCs w:val="32"/>
        </w:rPr>
        <w:t>многооборотности</w:t>
      </w:r>
      <w:proofErr w:type="spellEnd"/>
      <w:r w:rsidRPr="00BD4261">
        <w:rPr>
          <w:sz w:val="32"/>
          <w:szCs w:val="32"/>
        </w:rPr>
        <w:t>?</w:t>
      </w:r>
    </w:p>
    <w:p w14:paraId="2CA23CDB"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Какую роль играют инновации в области химических альтернатив в рамках Роттердамской и Стокгольмской конвенций в плане поддержки рациональной циркуляции материалов?</w:t>
      </w:r>
    </w:p>
    <w:p w14:paraId="670571C7"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Каким образом цифровые инструменты, включая </w:t>
      </w:r>
      <w:proofErr w:type="spellStart"/>
      <w:r w:rsidRPr="00BD4261">
        <w:rPr>
          <w:sz w:val="32"/>
          <w:szCs w:val="32"/>
        </w:rPr>
        <w:t>блокчейн</w:t>
      </w:r>
      <w:proofErr w:type="spellEnd"/>
      <w:r w:rsidRPr="00BD4261">
        <w:rPr>
          <w:sz w:val="32"/>
          <w:szCs w:val="32"/>
        </w:rPr>
        <w:t xml:space="preserve">, для отслеживания опасных химических веществ и отходов, могут содействовать осуществлению и способствовать внедрению </w:t>
      </w:r>
      <w:proofErr w:type="spellStart"/>
      <w:r w:rsidRPr="00BD4261">
        <w:rPr>
          <w:sz w:val="32"/>
          <w:szCs w:val="32"/>
        </w:rPr>
        <w:t>многооборотности</w:t>
      </w:r>
      <w:proofErr w:type="spellEnd"/>
      <w:r w:rsidRPr="00BD4261">
        <w:rPr>
          <w:sz w:val="32"/>
          <w:szCs w:val="32"/>
        </w:rPr>
        <w:t xml:space="preserve"> в рамках этих конвенций?</w:t>
      </w:r>
    </w:p>
    <w:p w14:paraId="56EABF6D" w14:textId="77777777" w:rsidR="00BD4261" w:rsidRPr="00BD4261" w:rsidRDefault="00BD4261" w:rsidP="00BD4261">
      <w:pPr>
        <w:pStyle w:val="CH3"/>
        <w:keepNext w:val="0"/>
        <w:keepLines w:val="0"/>
        <w:tabs>
          <w:tab w:val="clear" w:pos="624"/>
          <w:tab w:val="clear" w:pos="1247"/>
          <w:tab w:val="clear" w:pos="1871"/>
          <w:tab w:val="clear" w:pos="2495"/>
          <w:tab w:val="clear" w:pos="3119"/>
          <w:tab w:val="clear" w:pos="3742"/>
          <w:tab w:val="clear" w:pos="4082"/>
          <w:tab w:val="clear" w:pos="4366"/>
        </w:tabs>
        <w:jc w:val="both"/>
        <w:rPr>
          <w:sz w:val="32"/>
          <w:szCs w:val="32"/>
        </w:rPr>
      </w:pPr>
      <w:r w:rsidRPr="00BD4261">
        <w:rPr>
          <w:bCs/>
          <w:sz w:val="32"/>
          <w:szCs w:val="32"/>
        </w:rPr>
        <w:tab/>
        <w:t>3.</w:t>
      </w:r>
      <w:r w:rsidRPr="00BD4261">
        <w:rPr>
          <w:sz w:val="32"/>
          <w:szCs w:val="32"/>
        </w:rPr>
        <w:tab/>
      </w:r>
      <w:r w:rsidRPr="00BD4261">
        <w:rPr>
          <w:bCs/>
          <w:sz w:val="32"/>
          <w:szCs w:val="32"/>
        </w:rPr>
        <w:t>Средства осуществления – изучение возможностей для активизации осуществления конвенций путем расширения доступа к технической помощи, «чистым» и новым технологиям, а также использования инновационных моделей финансирования, например смешанного финансирования, банковских гарантий или «зеленых» облигаций, для устранения растущего дефицита финансирования</w:t>
      </w:r>
    </w:p>
    <w:p w14:paraId="06BE942A"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Базельская, Роттердамская и Стокгольмская конвенции предусматривают конкретные средства осуществления для содействия Сторонам в достижении их целей. К ним относятся инициативы по созданию потенциала для укрепления национальной нормативно-правовой базы, финансовая поддержка посредством таких механизмов, как Глобальный экологический фонд (ГЭФ), программы технической помощи, передача технологий для совершенствования обращения с отходами и химическими веществами, содействие международному сотрудничеству для решения трансграничных проблем, а также процедуры и </w:t>
      </w:r>
      <w:r w:rsidRPr="00BD4261">
        <w:rPr>
          <w:sz w:val="32"/>
          <w:szCs w:val="32"/>
        </w:rPr>
        <w:lastRenderedPageBreak/>
        <w:t>механизмы соблюдения для обеспечения выполнения Сторонами их обязательств. За последний двухгодичный период страны-доноры направили секретариату Базельской, Роттердамской и Стокгольмской конвенций около 4,8 млн долл. США на осуществление проектов по созданию потенциала и технической помощи в виде семинаров-практикумов, разработки докладов и инструментов, а также осуществления экспериментальных проектов.</w:t>
      </w:r>
    </w:p>
    <w:p w14:paraId="5846C162"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Со времени вступления в силу Роттердамской конвенции в 2004 году ФАО оказывает прямую финансовую поддержку в размере 1,5 млн долл. США в двухгодичный период из своего регулярного бюджета на цели ее осуществления.</w:t>
      </w:r>
    </w:p>
    <w:p w14:paraId="2D75BA4C"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В рамках восьмого пополнения ГЭФ (ГЭФ-8) правительства стран-доноров обязались направить в общей сложности 5,33 млрд долл. США на поддержку различных экологических инициатив в течение четырех лет. Из этой суммы 15 процентов – около 800 млн долл. США – было направлено на основное направление деятельности, касающееся химических веществ и отходов, которое включает в себя финансирование осуществления Стокгольмской конвенции. Эти средства способствуют обновлению национальных планов выполнения и устранению вредных химических веществ и отходов из текущих потоков отходов и действующей инфраструктуры. </w:t>
      </w:r>
    </w:p>
    <w:p w14:paraId="1878CC74"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Хотя эти ассигнования представляют собой весомое обязательство, их по-прежнему недостаточно для осуществления Стокгольмской конвенции в полном объеме. Результаты оценки финансовых потребностей в рамках Стокгольмской конвенции на период 2026</w:t>
      </w:r>
      <w:r w:rsidRPr="00BD4261">
        <w:rPr>
          <w:sz w:val="32"/>
          <w:szCs w:val="32"/>
        </w:rPr>
        <w:noBreakHyphen/>
        <w:t xml:space="preserve">2030 годов показали, что для осуществления Стокгольмской конвенции требуется более 18 млрд долл. США, из которых до 3,4 млрд долл. США требуется только для решения проблемы ПХД. Также быстро приближаются сроки выполнения ряда других обязательств в рамках Стокгольмской конвенции, например истечение срока действия конкретных исключений для </w:t>
      </w:r>
      <w:proofErr w:type="spellStart"/>
      <w:r w:rsidRPr="00BD4261">
        <w:rPr>
          <w:sz w:val="32"/>
          <w:szCs w:val="32"/>
        </w:rPr>
        <w:t>декабром-дифенилового</w:t>
      </w:r>
      <w:proofErr w:type="spellEnd"/>
      <w:r w:rsidRPr="00BD4261">
        <w:rPr>
          <w:sz w:val="32"/>
          <w:szCs w:val="32"/>
        </w:rPr>
        <w:t xml:space="preserve"> эфира, </w:t>
      </w:r>
      <w:proofErr w:type="spellStart"/>
      <w:r w:rsidRPr="00BD4261">
        <w:rPr>
          <w:sz w:val="32"/>
          <w:szCs w:val="32"/>
        </w:rPr>
        <w:t>короткоцепных</w:t>
      </w:r>
      <w:proofErr w:type="spellEnd"/>
      <w:r w:rsidRPr="00BD4261">
        <w:rPr>
          <w:sz w:val="32"/>
          <w:szCs w:val="32"/>
        </w:rPr>
        <w:t xml:space="preserve"> хлорированных парафинов, </w:t>
      </w:r>
      <w:proofErr w:type="spellStart"/>
      <w:r w:rsidRPr="00BD4261">
        <w:rPr>
          <w:sz w:val="32"/>
          <w:szCs w:val="32"/>
        </w:rPr>
        <w:t>перфтороктановой</w:t>
      </w:r>
      <w:proofErr w:type="spellEnd"/>
      <w:r w:rsidRPr="00BD4261">
        <w:rPr>
          <w:sz w:val="32"/>
          <w:szCs w:val="32"/>
        </w:rPr>
        <w:t xml:space="preserve"> </w:t>
      </w:r>
      <w:proofErr w:type="spellStart"/>
      <w:r w:rsidRPr="00BD4261">
        <w:rPr>
          <w:sz w:val="32"/>
          <w:szCs w:val="32"/>
        </w:rPr>
        <w:t>сульфоновой</w:t>
      </w:r>
      <w:proofErr w:type="spellEnd"/>
      <w:r w:rsidRPr="00BD4261">
        <w:rPr>
          <w:sz w:val="32"/>
          <w:szCs w:val="32"/>
        </w:rPr>
        <w:t xml:space="preserve"> </w:t>
      </w:r>
      <w:r w:rsidRPr="00BD4261">
        <w:rPr>
          <w:sz w:val="32"/>
          <w:szCs w:val="32"/>
        </w:rPr>
        <w:lastRenderedPageBreak/>
        <w:t xml:space="preserve">кислоты (ПФОС), ее солей и родственных ПФОС соединений, </w:t>
      </w:r>
      <w:proofErr w:type="spellStart"/>
      <w:r w:rsidRPr="00BD4261">
        <w:rPr>
          <w:sz w:val="32"/>
          <w:szCs w:val="32"/>
        </w:rPr>
        <w:t>перфтороктановой</w:t>
      </w:r>
      <w:proofErr w:type="spellEnd"/>
      <w:r w:rsidRPr="00BD4261">
        <w:rPr>
          <w:sz w:val="32"/>
          <w:szCs w:val="32"/>
        </w:rPr>
        <w:t xml:space="preserve"> кислоты (ПФОК), ее солей и родственных ПФОК соединений и </w:t>
      </w:r>
      <w:proofErr w:type="spellStart"/>
      <w:r w:rsidRPr="00BD4261">
        <w:rPr>
          <w:sz w:val="32"/>
          <w:szCs w:val="32"/>
        </w:rPr>
        <w:t>дикофола</w:t>
      </w:r>
      <w:proofErr w:type="spellEnd"/>
      <w:r w:rsidRPr="00BD4261">
        <w:rPr>
          <w:sz w:val="32"/>
          <w:szCs w:val="32"/>
        </w:rPr>
        <w:t>.</w:t>
      </w:r>
    </w:p>
    <w:p w14:paraId="6D48459F"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Во многих странах экологически обоснованное обращение с химическими веществами и отходами считается одним из национальных приоритетов развития. Приоритетный характер этой задачи подтверждается различными национальными стратегиями, мерами политики и нормативно-правовой базой, которые направлены на решение проблем в области окружающей среды, здравоохранения и хозяйственной деятельности, связанных с регулированием химических веществ и отходов. Международное сообщество предоставило целевое внешнее финансирование посредством Программы по регулированию химических веществ и отходов, которая предусматривает оказание поддержки развивающимся странам и странам с переходной экономикой на нужды укрепления их устойчивого институционального потенциала для разработки, принятия, мониторинга и обеспечения соблюдения мер политики, законодательных мер и нормативных актов в целях осуществления конвенций в области химических веществ и Стратегического подхода к международному регулированию химических веществ (СПМРХВ), который в настоящее время заменен Глобальной рамочной программой по химическим веществам. </w:t>
      </w:r>
    </w:p>
    <w:p w14:paraId="08A3C98B"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Фонд Глобальной рамочной программы по химическим веществам начал первый раунд приема заявок; как ожидается, в рамках отобранных проектов будут разрабатываться экологичные и рациональные решения, а также будут приниматься меры по предотвращению и сведению к минимуму вреда от химических веществ и отходов в отдельных наименее благополучных странах мира. Ряд других международных организаций и, например, члены </w:t>
      </w:r>
      <w:proofErr w:type="spellStart"/>
      <w:r w:rsidRPr="00BD4261">
        <w:rPr>
          <w:sz w:val="32"/>
          <w:szCs w:val="32"/>
        </w:rPr>
        <w:t>Межорганизационной</w:t>
      </w:r>
      <w:proofErr w:type="spellEnd"/>
      <w:r w:rsidRPr="00BD4261">
        <w:rPr>
          <w:sz w:val="32"/>
          <w:szCs w:val="32"/>
        </w:rPr>
        <w:t xml:space="preserve"> программы по рациональному регулированию химических веществ (МПРРХВ) также осуществляют проекты и проводят мероприятия, способствующие выполнению Базельской, Роттердамской и </w:t>
      </w:r>
      <w:r w:rsidRPr="00BD4261">
        <w:rPr>
          <w:sz w:val="32"/>
          <w:szCs w:val="32"/>
        </w:rPr>
        <w:lastRenderedPageBreak/>
        <w:t>Стокгольмской конвенций, такие как Программа по охране здоровья и борьбе с загрязнением окружающей среды в Африке, осуществляемая Всемирным банком, экспериментальные демонстрационные проекты по экологически безопасному регулированию утильных свинцово-кислотных аккумуляторных батарей, осуществляемые ЮНЕП, Глобальная программа лизинга химических веществ Организации Объединенных Наций по промышленному развитию (ЮНИДО).</w:t>
      </w:r>
    </w:p>
    <w:p w14:paraId="0E7798D0"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Однако, несмотря на то, что объем официальной помощи в целях развития (ОПР) со стороны государств – членов Комитета содействия развитию достиг рекордного уровня в 287 млрд долл. США в 2022 году (с учетом цен, зафиксированных на уровне 2021 года), он все еще не достигает целевого показателя по оказанию помощи в рамках цели 17 в области устойчивого развития (ЦУР). Кроме того, в период с 2021 по 2022 год ОПР для развивающихся стран сократилась на 2 процента, причем самое значительное сокращение – более чем на 3,5 процента – пришлось на страны Африки, Азии, Океании и наименее развитые страны (НРС). Это сокращение ОПР затронуло большинство развивающихся стран, включая 24 НРС и 15 малых островных развивающихся государств. Кроме того, в 2023 году потоки прямых иностранных инвестиций в развивающиеся страны сократились на 7 процентов из-за торговой и геополитической нестабильности, влияющей на замедление темпов роста мировой экономики. Многие развивающиеся страны продолжают сталкиваться с проблемой маргинализации и испытывают трудности в части привлечения иностранных инвестиций и интеграции в мировые производственные сети. Неизвестно, как это обстоятельство влияет на доступ к целевому внешнему финансированию регулирования химических веществ и отходов. </w:t>
      </w:r>
    </w:p>
    <w:p w14:paraId="1D2E29B3"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Благодаря стимулированию инновационных подходов к финансированию, Базельская, Роттердамская и Стокгольмская конвенции могут преодолеть разрыв между возрастающими финансовыми потребностями и </w:t>
      </w:r>
      <w:r w:rsidRPr="00BD4261">
        <w:rPr>
          <w:sz w:val="32"/>
          <w:szCs w:val="32"/>
        </w:rPr>
        <w:lastRenderedPageBreak/>
        <w:t>имеющимися ресурсами, необходимыми для эффективного осуществления. Учитывая растущую сложность обращения с опасными химическими веществами и отходами, а также необходимость перехода к экологичным альтернативам, смешанное финансирование и вовлечение частного сектора становятся важнейшими механизмами для привлечения новых потоков финансирования.</w:t>
      </w:r>
    </w:p>
    <w:p w14:paraId="0F026C1B" w14:textId="77777777" w:rsidR="00BD4261" w:rsidRPr="00BD4261" w:rsidRDefault="00BD4261" w:rsidP="00BD4261">
      <w:pPr>
        <w:pStyle w:val="Normalnumber"/>
        <w:numPr>
          <w:ilvl w:val="0"/>
          <w:numId w:val="0"/>
        </w:numPr>
        <w:tabs>
          <w:tab w:val="clear" w:pos="624"/>
          <w:tab w:val="clear" w:pos="1247"/>
          <w:tab w:val="clear" w:pos="2495"/>
          <w:tab w:val="clear" w:pos="3119"/>
          <w:tab w:val="clear" w:pos="3742"/>
          <w:tab w:val="clear" w:pos="4366"/>
          <w:tab w:val="right" w:pos="851"/>
        </w:tabs>
        <w:ind w:left="1247" w:right="284" w:hanging="1247"/>
        <w:jc w:val="both"/>
        <w:rPr>
          <w:b/>
          <w:bCs/>
          <w:sz w:val="32"/>
          <w:szCs w:val="32"/>
        </w:rPr>
      </w:pPr>
      <w:r w:rsidRPr="00BD4261">
        <w:rPr>
          <w:b/>
          <w:bCs/>
          <w:sz w:val="32"/>
          <w:szCs w:val="32"/>
        </w:rPr>
        <w:tab/>
      </w:r>
      <w:r w:rsidRPr="00BD4261">
        <w:rPr>
          <w:b/>
          <w:bCs/>
          <w:sz w:val="32"/>
          <w:szCs w:val="32"/>
          <w:lang w:val="en-US"/>
        </w:rPr>
        <w:t>a</w:t>
      </w:r>
      <w:r w:rsidRPr="00BD4261">
        <w:rPr>
          <w:b/>
          <w:bCs/>
          <w:sz w:val="32"/>
          <w:szCs w:val="32"/>
        </w:rPr>
        <w:t>)</w:t>
      </w:r>
      <w:r w:rsidRPr="00BD4261">
        <w:rPr>
          <w:b/>
          <w:bCs/>
          <w:sz w:val="32"/>
          <w:szCs w:val="32"/>
        </w:rPr>
        <w:tab/>
        <w:t>Смешанное финансирование: мобилизация государственного и частного капитала</w:t>
      </w:r>
    </w:p>
    <w:p w14:paraId="6AFA0480"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Смешанное финансирование, совмещающее государственные средства, льготное финансирование и инвестиции частного сектора, может помочь снизить риски инвестиций в инициативы по регулированию отходов и борьбе с загрязнением окружающей среды в соответствии с Базельской, Роттердамской и Стокгольмской конвенциями. При стратегическом использовании грантов, льготных кредитов и гарантий, правительства и учреждения развития могут создать финансовые стимулы, привлекающие частный капитал в сферы, которые традиционно считались сопряженными с высоким уровнем риска.</w:t>
      </w:r>
    </w:p>
    <w:p w14:paraId="148B814A" w14:textId="77777777" w:rsidR="00BD4261" w:rsidRPr="00BD4261" w:rsidRDefault="00BD4261" w:rsidP="00BD4261">
      <w:pPr>
        <w:pStyle w:val="Normalnumber"/>
        <w:numPr>
          <w:ilvl w:val="0"/>
          <w:numId w:val="0"/>
        </w:numPr>
        <w:tabs>
          <w:tab w:val="clear" w:pos="624"/>
          <w:tab w:val="clear" w:pos="1247"/>
          <w:tab w:val="clear" w:pos="2495"/>
          <w:tab w:val="clear" w:pos="3119"/>
          <w:tab w:val="clear" w:pos="3742"/>
          <w:tab w:val="clear" w:pos="4366"/>
          <w:tab w:val="right" w:pos="851"/>
        </w:tabs>
        <w:ind w:left="1247" w:right="284" w:hanging="1247"/>
        <w:jc w:val="both"/>
        <w:rPr>
          <w:b/>
          <w:bCs/>
          <w:sz w:val="32"/>
          <w:szCs w:val="32"/>
        </w:rPr>
      </w:pPr>
      <w:r w:rsidRPr="00BD4261">
        <w:rPr>
          <w:b/>
          <w:bCs/>
          <w:sz w:val="32"/>
          <w:szCs w:val="32"/>
        </w:rPr>
        <w:tab/>
      </w:r>
      <w:r w:rsidRPr="00BD4261">
        <w:rPr>
          <w:b/>
          <w:bCs/>
          <w:sz w:val="32"/>
          <w:szCs w:val="32"/>
          <w:lang w:val="en-US"/>
        </w:rPr>
        <w:t>b</w:t>
      </w:r>
      <w:r w:rsidRPr="00BD4261">
        <w:rPr>
          <w:b/>
          <w:bCs/>
          <w:sz w:val="32"/>
          <w:szCs w:val="32"/>
        </w:rPr>
        <w:t>)</w:t>
      </w:r>
      <w:r w:rsidRPr="00BD4261">
        <w:rPr>
          <w:b/>
          <w:bCs/>
          <w:sz w:val="32"/>
          <w:szCs w:val="32"/>
        </w:rPr>
        <w:tab/>
        <w:t>Вовлечение частного сектора: использование инноваций и рыночно-ориентированных решений</w:t>
      </w:r>
    </w:p>
    <w:p w14:paraId="46EB9ED1"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Частный сектор играет ключевую роль в решении проблемы опасных отходов и загрязнения окружающей среды химическими веществами благодаря инновациям, инвестициям и экспертному опыту. Корпоративные обязательства в области устойчивого развития и схемы расширенной ответственности производителей (РОП) могут быть использованы для увеличения финансирования частным сектором инициатив, связанных с регулированием опасных отходов и </w:t>
      </w:r>
      <w:proofErr w:type="spellStart"/>
      <w:r w:rsidRPr="00BD4261">
        <w:rPr>
          <w:sz w:val="32"/>
          <w:szCs w:val="32"/>
        </w:rPr>
        <w:t>многооборотностью</w:t>
      </w:r>
      <w:proofErr w:type="spellEnd"/>
      <w:r w:rsidRPr="00BD4261">
        <w:rPr>
          <w:sz w:val="32"/>
          <w:szCs w:val="32"/>
        </w:rPr>
        <w:t xml:space="preserve"> в хозяйственной деятельности.</w:t>
      </w:r>
    </w:p>
    <w:p w14:paraId="583894D6"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Основные стратегии привлечения финансирования частного сектора включают:</w:t>
      </w:r>
    </w:p>
    <w:p w14:paraId="0DB2B893" w14:textId="77777777" w:rsidR="00BD4261" w:rsidRPr="00BD4261" w:rsidRDefault="00BD4261" w:rsidP="00BD4261">
      <w:pPr>
        <w:pStyle w:val="Normalnumber"/>
        <w:numPr>
          <w:ilvl w:val="1"/>
          <w:numId w:val="3"/>
        </w:numPr>
        <w:tabs>
          <w:tab w:val="clear" w:pos="624"/>
          <w:tab w:val="clear" w:pos="1247"/>
          <w:tab w:val="clear" w:pos="3119"/>
          <w:tab w:val="clear" w:pos="3742"/>
          <w:tab w:val="clear" w:pos="4366"/>
        </w:tabs>
        <w:ind w:left="1247" w:firstLine="624"/>
        <w:jc w:val="both"/>
        <w:rPr>
          <w:sz w:val="32"/>
          <w:szCs w:val="32"/>
        </w:rPr>
      </w:pPr>
      <w:r w:rsidRPr="00BD4261">
        <w:rPr>
          <w:sz w:val="32"/>
          <w:szCs w:val="32"/>
        </w:rPr>
        <w:t xml:space="preserve">«Зеленые» облигации и инвестиции, связанные с устойчивым развитием: стимулирование коммерческих субъектов к выпуску облигаций, привязанных к показателям </w:t>
      </w:r>
      <w:r w:rsidRPr="00BD4261">
        <w:rPr>
          <w:sz w:val="32"/>
          <w:szCs w:val="32"/>
        </w:rPr>
        <w:lastRenderedPageBreak/>
        <w:t>экологической эффективности, может способствовать привлечению средств на нужды проектов по сокращению масштабов загрязнения окружающей среды;</w:t>
      </w:r>
    </w:p>
    <w:p w14:paraId="1C5FA949" w14:textId="77777777" w:rsidR="00BD4261" w:rsidRPr="00BD4261" w:rsidRDefault="00BD4261" w:rsidP="00BD4261">
      <w:pPr>
        <w:pStyle w:val="Normalnumber"/>
        <w:numPr>
          <w:ilvl w:val="1"/>
          <w:numId w:val="3"/>
        </w:numPr>
        <w:tabs>
          <w:tab w:val="clear" w:pos="624"/>
          <w:tab w:val="clear" w:pos="1247"/>
          <w:tab w:val="clear" w:pos="3119"/>
          <w:tab w:val="clear" w:pos="3742"/>
          <w:tab w:val="clear" w:pos="4366"/>
        </w:tabs>
        <w:ind w:left="1247" w:firstLine="624"/>
        <w:jc w:val="both"/>
        <w:rPr>
          <w:sz w:val="32"/>
          <w:szCs w:val="32"/>
        </w:rPr>
      </w:pPr>
      <w:r w:rsidRPr="00BD4261">
        <w:rPr>
          <w:sz w:val="32"/>
          <w:szCs w:val="32"/>
        </w:rPr>
        <w:t>Инвестиции социально-экологической направленности: поддержка фондов, для которых экологическое и социальное воздействие являются приоритетными задачами наряду с финансовой прибылью, может способствовать привлечению новых потоков капитала в решения в области обоснованного регулирования отходов;</w:t>
      </w:r>
    </w:p>
    <w:p w14:paraId="1CEE0CBF" w14:textId="77777777" w:rsidR="00BD4261" w:rsidRPr="00BD4261" w:rsidRDefault="00BD4261" w:rsidP="00BD4261">
      <w:pPr>
        <w:pStyle w:val="Normalnumber"/>
        <w:numPr>
          <w:ilvl w:val="1"/>
          <w:numId w:val="3"/>
        </w:numPr>
        <w:tabs>
          <w:tab w:val="clear" w:pos="624"/>
          <w:tab w:val="clear" w:pos="1247"/>
          <w:tab w:val="clear" w:pos="3119"/>
          <w:tab w:val="clear" w:pos="3742"/>
          <w:tab w:val="clear" w:pos="4366"/>
        </w:tabs>
        <w:ind w:left="1247" w:firstLine="624"/>
        <w:jc w:val="both"/>
        <w:rPr>
          <w:rStyle w:val="s1"/>
          <w:sz w:val="32"/>
          <w:szCs w:val="32"/>
        </w:rPr>
      </w:pPr>
      <w:r w:rsidRPr="00BD4261">
        <w:rPr>
          <w:sz w:val="32"/>
          <w:szCs w:val="32"/>
        </w:rPr>
        <w:t>Системы налогов и квот на выбросы углерода и загрязнение: введение налоговой политики, такой как налоги на загрязнение окружающей среды или налоговые вычеты за сокращение отходов, может стимулировать предприятия к инвестированию в более чистые технологии производства;</w:t>
      </w:r>
    </w:p>
    <w:p w14:paraId="736BA9D7" w14:textId="77777777" w:rsidR="00BD4261" w:rsidRPr="00BD4261" w:rsidRDefault="00BD4261" w:rsidP="00BD4261">
      <w:pPr>
        <w:pStyle w:val="Normalnumber"/>
        <w:numPr>
          <w:ilvl w:val="1"/>
          <w:numId w:val="3"/>
        </w:numPr>
        <w:tabs>
          <w:tab w:val="clear" w:pos="624"/>
          <w:tab w:val="clear" w:pos="1247"/>
          <w:tab w:val="clear" w:pos="3119"/>
          <w:tab w:val="clear" w:pos="3742"/>
          <w:tab w:val="clear" w:pos="4366"/>
        </w:tabs>
        <w:ind w:left="1247" w:firstLine="624"/>
        <w:jc w:val="both"/>
        <w:rPr>
          <w:rStyle w:val="s2"/>
          <w:sz w:val="32"/>
          <w:szCs w:val="32"/>
        </w:rPr>
      </w:pPr>
      <w:r w:rsidRPr="00BD4261">
        <w:rPr>
          <w:sz w:val="32"/>
          <w:szCs w:val="32"/>
        </w:rPr>
        <w:t>Передача технологий и стимулирование инноваций: содействие сотрудничеству между субъектами промышленности и исследовательскими институтами может ускорить промышленное освоение новых технологий, которые соответствуют целям Базельской, Роттердамской и Стокгольмской конвенций.</w:t>
      </w:r>
    </w:p>
    <w:p w14:paraId="045F8EA0"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Благодаря приведению механизмов государственного и частного финансирования в соответствие с нормативно-правовой базой и целями устойчивого развития, смешанное финансирование и вовлечение частного сектора могут значительно расширить доступ к ресурсам, необходимым для осуществления Базельской, Роттердамской и Стокгольмской конвенций. Такие подходы не только удовлетворяют насущные потребности в финансировании, но и создают долгосрочные, масштабируемые решения для экологически безопасного обращения с опасными химическими веществами и отходами.</w:t>
      </w:r>
    </w:p>
    <w:p w14:paraId="60EF4ACB" w14:textId="77777777" w:rsidR="00BD4261" w:rsidRPr="00BD4261" w:rsidRDefault="00BD4261" w:rsidP="00BD4261">
      <w:pPr>
        <w:pStyle w:val="Normalnumber"/>
        <w:numPr>
          <w:ilvl w:val="0"/>
          <w:numId w:val="0"/>
        </w:numPr>
        <w:tabs>
          <w:tab w:val="clear" w:pos="624"/>
          <w:tab w:val="clear" w:pos="1247"/>
          <w:tab w:val="clear" w:pos="2495"/>
          <w:tab w:val="clear" w:pos="3119"/>
          <w:tab w:val="clear" w:pos="3742"/>
          <w:tab w:val="clear" w:pos="4366"/>
          <w:tab w:val="right" w:pos="851"/>
        </w:tabs>
        <w:ind w:left="1247" w:right="284" w:hanging="1247"/>
        <w:jc w:val="both"/>
        <w:rPr>
          <w:b/>
          <w:bCs/>
          <w:sz w:val="32"/>
          <w:szCs w:val="32"/>
        </w:rPr>
      </w:pPr>
      <w:r w:rsidRPr="00BD4261">
        <w:rPr>
          <w:b/>
          <w:bCs/>
          <w:sz w:val="32"/>
          <w:szCs w:val="32"/>
        </w:rPr>
        <w:tab/>
      </w:r>
      <w:r w:rsidRPr="00BD4261">
        <w:rPr>
          <w:b/>
          <w:bCs/>
          <w:sz w:val="32"/>
          <w:szCs w:val="32"/>
          <w:lang w:val="en-US"/>
        </w:rPr>
        <w:t>c</w:t>
      </w:r>
      <w:r w:rsidRPr="00BD4261">
        <w:rPr>
          <w:b/>
          <w:bCs/>
          <w:sz w:val="32"/>
          <w:szCs w:val="32"/>
        </w:rPr>
        <w:t>)</w:t>
      </w:r>
      <w:r w:rsidRPr="00BD4261">
        <w:rPr>
          <w:b/>
          <w:bCs/>
          <w:sz w:val="32"/>
          <w:szCs w:val="32"/>
        </w:rPr>
        <w:tab/>
        <w:t xml:space="preserve">Наводящие вопросы для обсуждения этой </w:t>
      </w:r>
      <w:proofErr w:type="spellStart"/>
      <w:r w:rsidRPr="00BD4261">
        <w:rPr>
          <w:b/>
          <w:bCs/>
          <w:sz w:val="32"/>
          <w:szCs w:val="32"/>
        </w:rPr>
        <w:t>подтемы</w:t>
      </w:r>
      <w:proofErr w:type="spellEnd"/>
      <w:r w:rsidRPr="00BD4261">
        <w:rPr>
          <w:b/>
          <w:bCs/>
          <w:sz w:val="32"/>
          <w:szCs w:val="32"/>
        </w:rPr>
        <w:t xml:space="preserve"> в формате круглого стола</w:t>
      </w:r>
    </w:p>
    <w:p w14:paraId="57153033"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lastRenderedPageBreak/>
        <w:t>Удается ли Сторонам привлекать необходимые средства для выполнения Базельской, Роттердамской и Стокгольмской конвенций?</w:t>
      </w:r>
    </w:p>
    <w:p w14:paraId="62E7084A"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Каковы основные трудности, препятствующие более эффективному осуществлению Базельской, Роттердамской и Стокгольмской конвенций на национальном уровне, и как их можно преодолеть?</w:t>
      </w:r>
    </w:p>
    <w:p w14:paraId="5435F113"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Включены ли вопросы регулирования химических веществ и отходов в национальную повестку дня в области развития? </w:t>
      </w:r>
    </w:p>
    <w:p w14:paraId="346E38D9"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Какие инновационные подходы к финансированию используются в вашей стране для преодоления разрыва между требуемыми и имеющимися средствами для осуществления Базельской, Роттердамской и Стокгольмской конвенций?</w:t>
      </w:r>
    </w:p>
    <w:p w14:paraId="0387B999"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Каким образом можно активизировать и укреплять роль региональных центров Базельской и Стокгольмской конвенций в создании потенциала и передаче технологий для рационального регулирования химических веществ и отходов в вашей стране?</w:t>
      </w:r>
    </w:p>
    <w:p w14:paraId="08E7D11E" w14:textId="77777777" w:rsidR="00BD4261" w:rsidRPr="00BD4261" w:rsidRDefault="00BD4261" w:rsidP="00BD4261">
      <w:pPr>
        <w:pStyle w:val="Normalnumber"/>
        <w:numPr>
          <w:ilvl w:val="0"/>
          <w:numId w:val="0"/>
        </w:numPr>
        <w:tabs>
          <w:tab w:val="clear" w:pos="624"/>
          <w:tab w:val="clear" w:pos="1247"/>
          <w:tab w:val="clear" w:pos="2495"/>
          <w:tab w:val="clear" w:pos="3119"/>
          <w:tab w:val="clear" w:pos="3742"/>
          <w:tab w:val="clear" w:pos="4366"/>
          <w:tab w:val="right" w:pos="851"/>
        </w:tabs>
        <w:ind w:left="1247" w:right="284" w:hanging="1247"/>
        <w:jc w:val="both"/>
        <w:rPr>
          <w:b/>
          <w:bCs/>
          <w:sz w:val="32"/>
          <w:szCs w:val="32"/>
        </w:rPr>
      </w:pPr>
      <w:r w:rsidRPr="00BD4261">
        <w:rPr>
          <w:b/>
          <w:bCs/>
          <w:sz w:val="32"/>
          <w:szCs w:val="32"/>
        </w:rPr>
        <w:tab/>
      </w:r>
      <w:r w:rsidRPr="00BD4261">
        <w:rPr>
          <w:b/>
          <w:bCs/>
          <w:sz w:val="32"/>
          <w:szCs w:val="32"/>
          <w:lang w:val="en-US"/>
        </w:rPr>
        <w:t>d</w:t>
      </w:r>
      <w:r w:rsidRPr="00BD4261">
        <w:rPr>
          <w:b/>
          <w:bCs/>
          <w:sz w:val="32"/>
          <w:szCs w:val="32"/>
        </w:rPr>
        <w:t>)</w:t>
      </w:r>
      <w:r w:rsidRPr="00BD4261">
        <w:rPr>
          <w:b/>
          <w:bCs/>
          <w:sz w:val="32"/>
          <w:szCs w:val="32"/>
        </w:rPr>
        <w:tab/>
        <w:t xml:space="preserve">Наводящие вопросы для обсуждения этой </w:t>
      </w:r>
      <w:proofErr w:type="spellStart"/>
      <w:r w:rsidRPr="00BD4261">
        <w:rPr>
          <w:b/>
          <w:bCs/>
          <w:sz w:val="32"/>
          <w:szCs w:val="32"/>
        </w:rPr>
        <w:t>подтемы</w:t>
      </w:r>
      <w:proofErr w:type="spellEnd"/>
      <w:r w:rsidRPr="00BD4261">
        <w:rPr>
          <w:b/>
          <w:bCs/>
          <w:sz w:val="32"/>
          <w:szCs w:val="32"/>
        </w:rPr>
        <w:t xml:space="preserve"> на интерактивных панельных дискуссиях</w:t>
      </w:r>
    </w:p>
    <w:p w14:paraId="404E17A8"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Как можно увеличить финансирование со стороны частного сектора для экологически безопасного регулирования химических веществ и отходов?</w:t>
      </w:r>
    </w:p>
    <w:p w14:paraId="0EEE64DF"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Какие инновационные подходы к финансированию могут быть использованы в глобальном масштабе для преодоления разрыва между требуемыми и имеющимися средствами для осуществления Базельской, Роттердамской и Стокгольмской конвенций?</w:t>
      </w:r>
    </w:p>
    <w:p w14:paraId="6AA07482"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 xml:space="preserve">Какие механизмы можно создать для обеспечения того, чтобы приоритетные потребности, определенные Сторонами для выполнения их обязательств согласно конвенциям, удовлетворялись в рамках проектов и мероприятий, финансируемых в рамках действующих </w:t>
      </w:r>
      <w:r w:rsidRPr="00BD4261">
        <w:rPr>
          <w:sz w:val="32"/>
          <w:szCs w:val="32"/>
        </w:rPr>
        <w:lastRenderedPageBreak/>
        <w:t>двусторонних и многосторонних механизмов финансирования?</w:t>
      </w:r>
    </w:p>
    <w:p w14:paraId="28A29398"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Каким образом комплексное решение проблем загрязнения, изменения климата и утраты биоразнообразия может обеспечить доступ к расширенным средствам осуществления для достижения целей Базельской, Роттердамской и Стокгольмской конвенций?</w:t>
      </w:r>
    </w:p>
    <w:p w14:paraId="0004E512" w14:textId="77777777" w:rsidR="00BD4261" w:rsidRPr="00BD4261" w:rsidRDefault="00BD4261" w:rsidP="00BD4261">
      <w:pPr>
        <w:pStyle w:val="a3"/>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Как можно согласованно интегрировать цели Базельской, Роттердамской и Стокгольмской конвенций в международную помощь в целях развития?</w:t>
      </w:r>
    </w:p>
    <w:p w14:paraId="56D49584" w14:textId="77777777" w:rsidR="00BD4261" w:rsidRPr="00BD4261" w:rsidRDefault="00BD4261" w:rsidP="00BD4261">
      <w:pPr>
        <w:pStyle w:val="a3"/>
        <w:keepNext/>
        <w:keepLines/>
        <w:numPr>
          <w:ilvl w:val="0"/>
          <w:numId w:val="2"/>
        </w:numPr>
        <w:tabs>
          <w:tab w:val="clear" w:pos="1247"/>
          <w:tab w:val="clear" w:pos="1814"/>
          <w:tab w:val="clear" w:pos="2381"/>
          <w:tab w:val="clear" w:pos="2948"/>
          <w:tab w:val="clear" w:pos="3515"/>
        </w:tabs>
        <w:spacing w:after="120"/>
        <w:ind w:left="1247" w:firstLine="0"/>
        <w:contextualSpacing w:val="0"/>
        <w:jc w:val="both"/>
        <w:rPr>
          <w:sz w:val="32"/>
          <w:szCs w:val="32"/>
        </w:rPr>
      </w:pPr>
      <w:r w:rsidRPr="00BD4261">
        <w:rPr>
          <w:sz w:val="32"/>
          <w:szCs w:val="32"/>
        </w:rPr>
        <w:t>Какие успешные глобальные партнерства можно использовать для активизации усилий по внедрению в развивающихся странах и странах с переходной экономикой?</w:t>
      </w:r>
    </w:p>
    <w:tbl>
      <w:tblPr>
        <w:tblW w:w="0" w:type="auto"/>
        <w:tblLayout w:type="fixed"/>
        <w:tblCellMar>
          <w:left w:w="70" w:type="dxa"/>
          <w:right w:w="70" w:type="dxa"/>
        </w:tblCellMar>
        <w:tblLook w:val="0000" w:firstRow="0" w:lastRow="0" w:firstColumn="0" w:lastColumn="0" w:noHBand="0" w:noVBand="0"/>
      </w:tblPr>
      <w:tblGrid>
        <w:gridCol w:w="1899"/>
        <w:gridCol w:w="1899"/>
        <w:gridCol w:w="1899"/>
        <w:gridCol w:w="1900"/>
        <w:gridCol w:w="1900"/>
      </w:tblGrid>
      <w:tr w:rsidR="00BD4261" w:rsidRPr="00BD4261" w14:paraId="32F9A7E3" w14:textId="77777777" w:rsidTr="00766EF1">
        <w:trPr>
          <w:trHeight w:val="737"/>
        </w:trPr>
        <w:tc>
          <w:tcPr>
            <w:tcW w:w="1899" w:type="dxa"/>
          </w:tcPr>
          <w:p w14:paraId="3478C8B7" w14:textId="77777777" w:rsidR="00BD4261" w:rsidRPr="00BD4261" w:rsidRDefault="00BD4261" w:rsidP="00BD4261">
            <w:pPr>
              <w:tabs>
                <w:tab w:val="clear" w:pos="1247"/>
                <w:tab w:val="clear" w:pos="1814"/>
                <w:tab w:val="clear" w:pos="2381"/>
                <w:tab w:val="clear" w:pos="2948"/>
                <w:tab w:val="clear" w:pos="3515"/>
              </w:tabs>
              <w:snapToGrid w:val="0"/>
              <w:spacing w:before="520"/>
              <w:jc w:val="both"/>
              <w:rPr>
                <w:sz w:val="32"/>
                <w:szCs w:val="32"/>
              </w:rPr>
            </w:pPr>
          </w:p>
        </w:tc>
        <w:tc>
          <w:tcPr>
            <w:tcW w:w="1899" w:type="dxa"/>
          </w:tcPr>
          <w:p w14:paraId="18B8DB11" w14:textId="77777777" w:rsidR="00BD4261" w:rsidRPr="00BD4261" w:rsidRDefault="00BD4261" w:rsidP="00BD4261">
            <w:pPr>
              <w:tabs>
                <w:tab w:val="clear" w:pos="1247"/>
                <w:tab w:val="clear" w:pos="1814"/>
                <w:tab w:val="clear" w:pos="2381"/>
                <w:tab w:val="clear" w:pos="2948"/>
                <w:tab w:val="clear" w:pos="3515"/>
              </w:tabs>
              <w:snapToGrid w:val="0"/>
              <w:spacing w:before="520"/>
              <w:jc w:val="both"/>
              <w:rPr>
                <w:sz w:val="32"/>
                <w:szCs w:val="32"/>
              </w:rPr>
            </w:pPr>
          </w:p>
        </w:tc>
        <w:tc>
          <w:tcPr>
            <w:tcW w:w="1899" w:type="dxa"/>
            <w:tcBorders>
              <w:bottom w:val="single" w:sz="4" w:space="0" w:color="auto"/>
            </w:tcBorders>
            <w:shd w:val="clear" w:color="auto" w:fill="auto"/>
          </w:tcPr>
          <w:p w14:paraId="06B8D2B4" w14:textId="77777777" w:rsidR="00BD4261" w:rsidRPr="00BD4261" w:rsidRDefault="00BD4261" w:rsidP="00BD4261">
            <w:pPr>
              <w:tabs>
                <w:tab w:val="clear" w:pos="1247"/>
                <w:tab w:val="clear" w:pos="1814"/>
                <w:tab w:val="clear" w:pos="2381"/>
                <w:tab w:val="clear" w:pos="2948"/>
                <w:tab w:val="clear" w:pos="3515"/>
              </w:tabs>
              <w:snapToGrid w:val="0"/>
              <w:spacing w:before="520"/>
              <w:jc w:val="both"/>
              <w:rPr>
                <w:sz w:val="32"/>
                <w:szCs w:val="32"/>
              </w:rPr>
            </w:pPr>
          </w:p>
        </w:tc>
        <w:tc>
          <w:tcPr>
            <w:tcW w:w="1900" w:type="dxa"/>
          </w:tcPr>
          <w:p w14:paraId="7B77E75A" w14:textId="77777777" w:rsidR="00BD4261" w:rsidRPr="00BD4261" w:rsidRDefault="00BD4261" w:rsidP="00BD4261">
            <w:pPr>
              <w:tabs>
                <w:tab w:val="clear" w:pos="1247"/>
                <w:tab w:val="clear" w:pos="1814"/>
                <w:tab w:val="clear" w:pos="2381"/>
                <w:tab w:val="clear" w:pos="2948"/>
                <w:tab w:val="clear" w:pos="3515"/>
              </w:tabs>
              <w:snapToGrid w:val="0"/>
              <w:spacing w:before="520"/>
              <w:jc w:val="both"/>
              <w:rPr>
                <w:sz w:val="32"/>
                <w:szCs w:val="32"/>
              </w:rPr>
            </w:pPr>
          </w:p>
        </w:tc>
        <w:tc>
          <w:tcPr>
            <w:tcW w:w="1900" w:type="dxa"/>
          </w:tcPr>
          <w:p w14:paraId="41F36F17" w14:textId="77777777" w:rsidR="00BD4261" w:rsidRPr="00BD4261" w:rsidRDefault="00BD4261" w:rsidP="00BD4261">
            <w:pPr>
              <w:tabs>
                <w:tab w:val="clear" w:pos="1247"/>
                <w:tab w:val="clear" w:pos="1814"/>
                <w:tab w:val="clear" w:pos="2381"/>
                <w:tab w:val="clear" w:pos="2948"/>
                <w:tab w:val="clear" w:pos="3515"/>
              </w:tabs>
              <w:snapToGrid w:val="0"/>
              <w:spacing w:before="520"/>
              <w:jc w:val="both"/>
              <w:rPr>
                <w:sz w:val="32"/>
                <w:szCs w:val="32"/>
              </w:rPr>
            </w:pPr>
          </w:p>
        </w:tc>
      </w:tr>
    </w:tbl>
    <w:p w14:paraId="2EAA83D6" w14:textId="77777777" w:rsidR="00BD4261" w:rsidRPr="00BD4261" w:rsidRDefault="00BD4261" w:rsidP="00BD4261">
      <w:pPr>
        <w:tabs>
          <w:tab w:val="clear" w:pos="1247"/>
          <w:tab w:val="clear" w:pos="1814"/>
          <w:tab w:val="clear" w:pos="2381"/>
          <w:tab w:val="clear" w:pos="2948"/>
          <w:tab w:val="clear" w:pos="3515"/>
        </w:tabs>
        <w:jc w:val="both"/>
        <w:rPr>
          <w:sz w:val="32"/>
          <w:szCs w:val="32"/>
        </w:rPr>
      </w:pPr>
    </w:p>
    <w:p w14:paraId="36E46DA3" w14:textId="77777777" w:rsidR="00BD4261" w:rsidRPr="00BD4261" w:rsidRDefault="00BD4261" w:rsidP="00BD4261">
      <w:pPr>
        <w:jc w:val="both"/>
        <w:rPr>
          <w:sz w:val="32"/>
          <w:szCs w:val="32"/>
        </w:rPr>
      </w:pPr>
    </w:p>
    <w:sectPr w:rsidR="00BD4261" w:rsidRPr="00BD4261" w:rsidSect="00DD67F3">
      <w:headerReference w:type="even" r:id="rId7"/>
      <w:headerReference w:type="default" r:id="rId8"/>
      <w:footerReference w:type="even" r:id="rId9"/>
      <w:footerReference w:type="default" r:id="rId10"/>
      <w:footerReference w:type="first" r:id="rId11"/>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F58A7" w14:textId="77777777" w:rsidR="001302D4" w:rsidRDefault="001302D4" w:rsidP="00BD4261">
      <w:r>
        <w:separator/>
      </w:r>
    </w:p>
  </w:endnote>
  <w:endnote w:type="continuationSeparator" w:id="0">
    <w:p w14:paraId="7345947A" w14:textId="77777777" w:rsidR="001302D4" w:rsidRDefault="001302D4" w:rsidP="00BD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4461" w14:textId="77777777" w:rsidR="00DD67F3" w:rsidRPr="00DD67F3" w:rsidRDefault="001302D4" w:rsidP="00287A9D">
    <w:pPr>
      <w:pStyle w:val="Footer-pool"/>
      <w:tabs>
        <w:tab w:val="clear" w:pos="624"/>
        <w:tab w:val="clear" w:pos="1247"/>
        <w:tab w:val="clear" w:pos="1871"/>
        <w:tab w:val="clear" w:pos="2495"/>
        <w:tab w:val="clear" w:pos="3119"/>
        <w:tab w:val="clear" w:pos="3742"/>
        <w:tab w:val="clear" w:pos="4321"/>
        <w:tab w:val="clear" w:pos="4366"/>
        <w:tab w:val="clear" w:pos="8641"/>
      </w:tabs>
      <w:spacing w:after="0"/>
    </w:pPr>
    <w:r w:rsidRPr="00DD67F3">
      <w:fldChar w:fldCharType="begin"/>
    </w:r>
    <w:r w:rsidRPr="00DD67F3">
      <w:instrText xml:space="preserve"> PAGE </w:instrText>
    </w:r>
    <w:r w:rsidRPr="00DD67F3">
      <w:fldChar w:fldCharType="separate"/>
    </w:r>
    <w:r w:rsidRPr="00DD67F3">
      <w:rPr>
        <w:noProof/>
      </w:rPr>
      <w:t>1</w:t>
    </w:r>
    <w:r w:rsidRPr="00DD67F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132F" w14:textId="77777777" w:rsidR="00DD67F3" w:rsidRPr="00DD67F3" w:rsidRDefault="001302D4" w:rsidP="00287A9D">
    <w:pPr>
      <w:pStyle w:val="Footer-pool"/>
      <w:tabs>
        <w:tab w:val="clear" w:pos="624"/>
        <w:tab w:val="clear" w:pos="1247"/>
        <w:tab w:val="clear" w:pos="1871"/>
        <w:tab w:val="clear" w:pos="2495"/>
        <w:tab w:val="clear" w:pos="3119"/>
        <w:tab w:val="clear" w:pos="3742"/>
        <w:tab w:val="clear" w:pos="4321"/>
        <w:tab w:val="clear" w:pos="4366"/>
        <w:tab w:val="clear" w:pos="8641"/>
      </w:tabs>
      <w:spacing w:after="0"/>
      <w:jc w:val="right"/>
    </w:pPr>
    <w:r w:rsidRPr="00DD67F3">
      <w:fldChar w:fldCharType="begin"/>
    </w:r>
    <w:r w:rsidRPr="00DD67F3">
      <w:instrText xml:space="preserve"> PAGE \* MERGEFORMAT </w:instrText>
    </w:r>
    <w:r w:rsidRPr="00DD67F3">
      <w:fldChar w:fldCharType="separate"/>
    </w:r>
    <w:r w:rsidRPr="00DD67F3">
      <w:rPr>
        <w:noProof/>
      </w:rPr>
      <w:t>1</w:t>
    </w:r>
    <w:r w:rsidRPr="00DD67F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DFD1" w14:textId="77777777" w:rsidR="00DD67F3" w:rsidRPr="00DD67F3" w:rsidRDefault="001302D4" w:rsidP="00DD67F3">
    <w:pPr>
      <w:pStyle w:val="Footer-jobnumber"/>
    </w:pPr>
    <w:bookmarkStart w:id="3" w:name="FooterJobDate"/>
    <w:r w:rsidRPr="00DD67F3">
      <w:t>K</w:t>
    </w:r>
    <w:r>
      <w:rPr>
        <w:lang w:val="en-US"/>
      </w:rPr>
      <w:t>2503706</w:t>
    </w:r>
    <w:r w:rsidRPr="00DD67F3">
      <w:t>[R]</w:t>
    </w:r>
    <w:r w:rsidRPr="00DD67F3">
      <w:tab/>
    </w:r>
    <w:r>
      <w:rPr>
        <w:lang w:val="en-US"/>
      </w:rPr>
      <w:t>1803</w:t>
    </w:r>
    <w:r w:rsidRPr="00DD67F3">
      <w:t>25</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E485D" w14:textId="77777777" w:rsidR="001302D4" w:rsidRDefault="001302D4" w:rsidP="00BD4261">
      <w:r>
        <w:separator/>
      </w:r>
    </w:p>
  </w:footnote>
  <w:footnote w:type="continuationSeparator" w:id="0">
    <w:p w14:paraId="6B5DBD73" w14:textId="77777777" w:rsidR="001302D4" w:rsidRDefault="001302D4" w:rsidP="00BD4261">
      <w:r>
        <w:continuationSeparator/>
      </w:r>
    </w:p>
  </w:footnote>
  <w:footnote w:id="1">
    <w:p w14:paraId="5E907072" w14:textId="77777777" w:rsidR="00BD4261" w:rsidRPr="007D5A1C" w:rsidRDefault="00BD4261" w:rsidP="00BD4261">
      <w:pPr>
        <w:pStyle w:val="a5"/>
        <w:tabs>
          <w:tab w:val="clear" w:pos="1247"/>
          <w:tab w:val="clear" w:pos="1814"/>
          <w:tab w:val="clear" w:pos="2381"/>
          <w:tab w:val="clear" w:pos="2948"/>
          <w:tab w:val="clear" w:pos="3515"/>
          <w:tab w:val="clear" w:pos="4082"/>
        </w:tabs>
        <w:rPr>
          <w:szCs w:val="18"/>
        </w:rPr>
      </w:pPr>
      <w:r w:rsidRPr="007D5A1C">
        <w:rPr>
          <w:rStyle w:val="a4"/>
        </w:rPr>
        <w:footnoteRef/>
      </w:r>
      <w:r w:rsidRPr="007D5A1C">
        <w:rPr>
          <w:szCs w:val="18"/>
        </w:rPr>
        <w:t xml:space="preserve"> </w:t>
      </w:r>
      <w:r w:rsidRPr="00E33168">
        <w:rPr>
          <w:szCs w:val="18"/>
        </w:rPr>
        <w:tab/>
      </w:r>
      <w:r w:rsidRPr="007D5A1C">
        <w:rPr>
          <w:szCs w:val="18"/>
        </w:rPr>
        <w:t>https://openknowledge.fao.org/server/api/core/bitstreams/ecb51a59-ac4d-407a-80de-c7d6c3e15fcc/content.</w:t>
      </w:r>
    </w:p>
  </w:footnote>
  <w:footnote w:id="2">
    <w:p w14:paraId="6636BF18" w14:textId="77777777" w:rsidR="00BD4261" w:rsidRPr="007D5A1C" w:rsidRDefault="00BD4261" w:rsidP="00BD4261">
      <w:pPr>
        <w:pStyle w:val="a5"/>
        <w:tabs>
          <w:tab w:val="clear" w:pos="1247"/>
          <w:tab w:val="clear" w:pos="1814"/>
          <w:tab w:val="clear" w:pos="2381"/>
          <w:tab w:val="clear" w:pos="2948"/>
          <w:tab w:val="clear" w:pos="3515"/>
          <w:tab w:val="clear" w:pos="4082"/>
        </w:tabs>
        <w:rPr>
          <w:szCs w:val="18"/>
          <w:lang w:val="en-GB"/>
        </w:rPr>
      </w:pPr>
      <w:r w:rsidRPr="007D5A1C">
        <w:rPr>
          <w:rStyle w:val="a4"/>
        </w:rPr>
        <w:footnoteRef/>
      </w:r>
      <w:r w:rsidRPr="007D5A1C">
        <w:rPr>
          <w:szCs w:val="18"/>
          <w:lang w:val="en-US"/>
        </w:rPr>
        <w:t xml:space="preserve"> </w:t>
      </w:r>
      <w:r>
        <w:rPr>
          <w:szCs w:val="18"/>
          <w:lang w:val="en-US"/>
        </w:rPr>
        <w:tab/>
      </w:r>
      <w:r w:rsidRPr="007D5A1C">
        <w:rPr>
          <w:szCs w:val="18"/>
          <w:lang w:val="en-US"/>
        </w:rPr>
        <w:t>Global Waste Management Outlook 2024: Beyond an age of waste– Turning rubbish into a resource, UNEP. https://doi.org/10.59117/20.500.11822/44939.</w:t>
      </w:r>
    </w:p>
  </w:footnote>
  <w:footnote w:id="3">
    <w:p w14:paraId="5D4DFB52" w14:textId="77777777" w:rsidR="00BD4261" w:rsidRPr="007D5A1C" w:rsidRDefault="00BD4261" w:rsidP="00BD4261">
      <w:pPr>
        <w:pStyle w:val="a5"/>
        <w:tabs>
          <w:tab w:val="clear" w:pos="1247"/>
          <w:tab w:val="clear" w:pos="1814"/>
          <w:tab w:val="clear" w:pos="2381"/>
          <w:tab w:val="clear" w:pos="2948"/>
          <w:tab w:val="clear" w:pos="3515"/>
          <w:tab w:val="clear" w:pos="4082"/>
        </w:tabs>
        <w:rPr>
          <w:szCs w:val="18"/>
          <w:lang w:val="en-GB"/>
        </w:rPr>
      </w:pPr>
      <w:r w:rsidRPr="007D5A1C">
        <w:rPr>
          <w:rStyle w:val="a4"/>
        </w:rPr>
        <w:footnoteRef/>
      </w:r>
      <w:r w:rsidRPr="007D5A1C">
        <w:rPr>
          <w:szCs w:val="18"/>
          <w:lang w:val="en-US"/>
        </w:rPr>
        <w:t xml:space="preserve"> </w:t>
      </w:r>
      <w:r>
        <w:rPr>
          <w:szCs w:val="18"/>
          <w:lang w:val="en-US"/>
        </w:rPr>
        <w:tab/>
      </w:r>
      <w:r w:rsidRPr="007D5A1C">
        <w:rPr>
          <w:szCs w:val="18"/>
          <w:lang w:val="en-US"/>
        </w:rPr>
        <w:t xml:space="preserve">Tackling informality in e-waste management: the potential of cooperative enterprises. Geneva: International </w:t>
      </w:r>
      <w:proofErr w:type="spellStart"/>
      <w:r w:rsidRPr="007D5A1C">
        <w:rPr>
          <w:szCs w:val="18"/>
          <w:lang w:val="en-US"/>
        </w:rPr>
        <w:t>Labour</w:t>
      </w:r>
      <w:proofErr w:type="spellEnd"/>
      <w:r w:rsidRPr="007D5A1C">
        <w:rPr>
          <w:szCs w:val="18"/>
          <w:lang w:val="en-US"/>
        </w:rPr>
        <w:t xml:space="preserve"> Organization; 2014 (</w:t>
      </w:r>
      <w:hyperlink r:id="rId1" w:history="1">
        <w:r w:rsidRPr="00870DEE">
          <w:rPr>
            <w:rStyle w:val="a7"/>
            <w:color w:val="0000FF"/>
            <w:szCs w:val="18"/>
            <w:lang w:val="en-US"/>
          </w:rPr>
          <w:t>https://www.ilo.org/sector/Resources/publications/WCMS_315228/lang--en/index.htm</w:t>
        </w:r>
      </w:hyperlink>
      <w:r w:rsidRPr="007D5A1C">
        <w:rPr>
          <w:szCs w:val="18"/>
          <w:lang w:val="en-US"/>
        </w:rPr>
        <w:t xml:space="preserve">). </w:t>
      </w:r>
    </w:p>
  </w:footnote>
  <w:footnote w:id="4">
    <w:p w14:paraId="13AF5F72" w14:textId="77777777" w:rsidR="00BD4261" w:rsidRPr="007D5A1C" w:rsidRDefault="00BD4261" w:rsidP="00BD4261">
      <w:pPr>
        <w:pStyle w:val="a5"/>
        <w:tabs>
          <w:tab w:val="clear" w:pos="1247"/>
          <w:tab w:val="clear" w:pos="1814"/>
          <w:tab w:val="clear" w:pos="2381"/>
          <w:tab w:val="clear" w:pos="2948"/>
          <w:tab w:val="clear" w:pos="3515"/>
          <w:tab w:val="clear" w:pos="4082"/>
        </w:tabs>
        <w:rPr>
          <w:szCs w:val="18"/>
          <w:lang w:val="en-GB"/>
        </w:rPr>
      </w:pPr>
      <w:r w:rsidRPr="007D5A1C">
        <w:rPr>
          <w:rStyle w:val="a4"/>
        </w:rPr>
        <w:footnoteRef/>
      </w:r>
      <w:r w:rsidRPr="007D5A1C">
        <w:rPr>
          <w:szCs w:val="18"/>
          <w:lang w:val="en-US"/>
        </w:rPr>
        <w:t xml:space="preserve"> </w:t>
      </w:r>
      <w:r>
        <w:rPr>
          <w:szCs w:val="18"/>
          <w:lang w:val="en-US"/>
        </w:rPr>
        <w:tab/>
      </w:r>
      <w:proofErr w:type="spellStart"/>
      <w:r w:rsidRPr="007D5A1C">
        <w:rPr>
          <w:szCs w:val="18"/>
          <w:lang w:val="en-US"/>
        </w:rPr>
        <w:t>Balde</w:t>
      </w:r>
      <w:proofErr w:type="spellEnd"/>
      <w:r w:rsidRPr="007D5A1C">
        <w:rPr>
          <w:szCs w:val="18"/>
          <w:lang w:val="en-US"/>
        </w:rPr>
        <w:t xml:space="preserve"> CP, </w:t>
      </w:r>
      <w:proofErr w:type="spellStart"/>
      <w:r w:rsidRPr="007D5A1C">
        <w:rPr>
          <w:szCs w:val="18"/>
          <w:lang w:val="en-US"/>
        </w:rPr>
        <w:t>Kuehr</w:t>
      </w:r>
      <w:proofErr w:type="spellEnd"/>
      <w:r w:rsidRPr="007D5A1C">
        <w:rPr>
          <w:szCs w:val="18"/>
          <w:lang w:val="en-US"/>
        </w:rPr>
        <w:t xml:space="preserve"> R, Yamamoto T, McDonald R, D’Angelo E, </w:t>
      </w:r>
      <w:proofErr w:type="spellStart"/>
      <w:r w:rsidRPr="007D5A1C">
        <w:rPr>
          <w:szCs w:val="18"/>
          <w:lang w:val="en-US"/>
        </w:rPr>
        <w:t>Althaf</w:t>
      </w:r>
      <w:proofErr w:type="spellEnd"/>
      <w:r w:rsidRPr="007D5A1C">
        <w:rPr>
          <w:szCs w:val="18"/>
          <w:lang w:val="en-US"/>
        </w:rPr>
        <w:t xml:space="preserve"> S et al. The Global E-waste Monitor 2024. Bonn, Geneva: International Telecommunication Union, United Nations Institute for Training and Resources; 2024 (https://ewastemonitor.info/).</w:t>
      </w:r>
    </w:p>
  </w:footnote>
  <w:footnote w:id="5">
    <w:p w14:paraId="49ED460C" w14:textId="77777777" w:rsidR="00BD4261" w:rsidRPr="007D5A1C" w:rsidRDefault="00BD4261" w:rsidP="00BD4261">
      <w:pPr>
        <w:pStyle w:val="a5"/>
        <w:tabs>
          <w:tab w:val="clear" w:pos="1247"/>
          <w:tab w:val="clear" w:pos="1814"/>
          <w:tab w:val="clear" w:pos="2381"/>
          <w:tab w:val="clear" w:pos="2948"/>
          <w:tab w:val="clear" w:pos="3515"/>
          <w:tab w:val="clear" w:pos="4082"/>
        </w:tabs>
        <w:rPr>
          <w:szCs w:val="18"/>
        </w:rPr>
      </w:pPr>
      <w:r w:rsidRPr="007D5A1C">
        <w:rPr>
          <w:rStyle w:val="a4"/>
        </w:rPr>
        <w:footnoteRef/>
      </w:r>
      <w:r w:rsidRPr="007D5A1C">
        <w:rPr>
          <w:szCs w:val="18"/>
        </w:rPr>
        <w:t xml:space="preserve"> </w:t>
      </w:r>
      <w:r>
        <w:rPr>
          <w:szCs w:val="18"/>
          <w:lang w:val="en-US"/>
        </w:rPr>
        <w:tab/>
      </w:r>
      <w:r w:rsidRPr="007D5A1C">
        <w:rPr>
          <w:szCs w:val="18"/>
        </w:rPr>
        <w:t>Там же.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50597" w14:textId="77777777" w:rsidR="00DD67F3" w:rsidRPr="00D7470A" w:rsidRDefault="001302D4" w:rsidP="007D5A1C">
    <w:pPr>
      <w:pStyle w:val="Header-pool"/>
      <w:tabs>
        <w:tab w:val="clear" w:pos="624"/>
        <w:tab w:val="clear" w:pos="1247"/>
        <w:tab w:val="clear" w:pos="1871"/>
        <w:tab w:val="clear" w:pos="2495"/>
        <w:tab w:val="clear" w:pos="3119"/>
        <w:tab w:val="clear" w:pos="3742"/>
        <w:tab w:val="clear" w:pos="4366"/>
        <w:tab w:val="clear" w:pos="4536"/>
        <w:tab w:val="clear" w:pos="9072"/>
      </w:tabs>
      <w:rPr>
        <w:lang w:val="en-GB"/>
      </w:rPr>
    </w:pPr>
    <w:r w:rsidRPr="00D7470A">
      <w:rPr>
        <w:lang w:val="en-GB"/>
      </w:rPr>
      <w:t>UNEP/CHW.17/</w:t>
    </w:r>
    <w:r>
      <w:rPr>
        <w:lang w:val="en-GB"/>
      </w:rPr>
      <w:t>INF</w:t>
    </w:r>
    <w:r w:rsidRPr="00D7470A">
      <w:rPr>
        <w:lang w:val="en-GB"/>
      </w:rPr>
      <w:t>/</w:t>
    </w:r>
    <w:r>
      <w:rPr>
        <w:lang w:val="en-GB"/>
      </w:rPr>
      <w:t>75</w:t>
    </w:r>
    <w:r w:rsidRPr="00D7470A">
      <w:rPr>
        <w:lang w:val="en-GB"/>
      </w:rPr>
      <w:t>–UNEP/FAO/RC/COP.12/</w:t>
    </w:r>
    <w:r>
      <w:rPr>
        <w:lang w:val="en-GB"/>
      </w:rPr>
      <w:t>INF</w:t>
    </w:r>
    <w:r w:rsidRPr="00D7470A">
      <w:rPr>
        <w:lang w:val="en-GB"/>
      </w:rPr>
      <w:t>/</w:t>
    </w:r>
    <w:r>
      <w:rPr>
        <w:lang w:val="en-GB"/>
      </w:rPr>
      <w:t>48</w:t>
    </w:r>
    <w:r w:rsidRPr="00D7470A">
      <w:rPr>
        <w:lang w:val="en-GB"/>
      </w:rPr>
      <w:t>–UNEP/POPS/COP.12/</w:t>
    </w:r>
    <w:r>
      <w:rPr>
        <w:lang w:val="en-GB"/>
      </w:rPr>
      <w:t>INF</w:t>
    </w:r>
    <w:r w:rsidRPr="00D7470A">
      <w:rPr>
        <w:lang w:val="en-GB"/>
      </w:rPr>
      <w:t>/</w:t>
    </w:r>
    <w:r>
      <w:rPr>
        <w:lang w:val="en-GB"/>
      </w:rPr>
      <w:t>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673C" w14:textId="77777777" w:rsidR="00DD67F3" w:rsidRPr="00D7470A" w:rsidRDefault="001302D4" w:rsidP="007D5A1C">
    <w:pPr>
      <w:pStyle w:val="Header-pool"/>
      <w:tabs>
        <w:tab w:val="clear" w:pos="624"/>
        <w:tab w:val="clear" w:pos="1247"/>
        <w:tab w:val="clear" w:pos="1871"/>
        <w:tab w:val="clear" w:pos="2495"/>
        <w:tab w:val="clear" w:pos="3119"/>
        <w:tab w:val="clear" w:pos="3742"/>
        <w:tab w:val="clear" w:pos="4366"/>
        <w:tab w:val="clear" w:pos="4536"/>
        <w:tab w:val="clear" w:pos="9072"/>
      </w:tabs>
      <w:jc w:val="right"/>
      <w:rPr>
        <w:lang w:val="en-GB"/>
      </w:rPr>
    </w:pPr>
    <w:r w:rsidRPr="00D7470A">
      <w:rPr>
        <w:lang w:val="en-GB"/>
      </w:rPr>
      <w:t>UNEP/CHW.17/</w:t>
    </w:r>
    <w:r>
      <w:rPr>
        <w:lang w:val="en-GB"/>
      </w:rPr>
      <w:t>INF</w:t>
    </w:r>
    <w:r w:rsidRPr="00D7470A">
      <w:rPr>
        <w:lang w:val="en-GB"/>
      </w:rPr>
      <w:t>/</w:t>
    </w:r>
    <w:r>
      <w:rPr>
        <w:lang w:val="en-GB"/>
      </w:rPr>
      <w:t>75</w:t>
    </w:r>
    <w:r w:rsidRPr="00D7470A">
      <w:rPr>
        <w:lang w:val="en-GB"/>
      </w:rPr>
      <w:t>–UNEP/FAO/RC/COP.12/</w:t>
    </w:r>
    <w:r>
      <w:rPr>
        <w:lang w:val="en-GB"/>
      </w:rPr>
      <w:t>INF</w:t>
    </w:r>
    <w:r w:rsidRPr="00D7470A">
      <w:rPr>
        <w:lang w:val="en-GB"/>
      </w:rPr>
      <w:t>/</w:t>
    </w:r>
    <w:r>
      <w:rPr>
        <w:lang w:val="en-GB"/>
      </w:rPr>
      <w:t>48</w:t>
    </w:r>
    <w:r w:rsidRPr="00D7470A">
      <w:rPr>
        <w:lang w:val="en-GB"/>
      </w:rPr>
      <w:t>–UNEP/POPS/COP.12/</w:t>
    </w:r>
    <w:r>
      <w:rPr>
        <w:lang w:val="en-GB"/>
      </w:rPr>
      <w:t>INF</w:t>
    </w:r>
    <w:r w:rsidRPr="00D7470A">
      <w:rPr>
        <w:lang w:val="en-GB"/>
      </w:rPr>
      <w:t>/</w:t>
    </w:r>
    <w:r>
      <w:rPr>
        <w:lang w:val="en-GB"/>
      </w:rPr>
      <w:t>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66A9D"/>
    <w:multiLevelType w:val="multilevel"/>
    <w:tmpl w:val="AD6EEF8E"/>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 w15:restartNumberingAfterBreak="0">
    <w:nsid w:val="5BED4D34"/>
    <w:multiLevelType w:val="hybridMultilevel"/>
    <w:tmpl w:val="10A85F76"/>
    <w:lvl w:ilvl="0" w:tplc="96085D60">
      <w:start w:val="1"/>
      <w:numFmt w:val="decimal"/>
      <w:lvlText w:val="%1."/>
      <w:lvlJc w:val="left"/>
      <w:pPr>
        <w:ind w:left="720" w:hanging="360"/>
      </w:pPr>
      <w:rPr>
        <w:rFonts w:ascii="Times New Roman" w:hAnsi="Times New Roman" w:hint="default"/>
        <w:b w:val="0"/>
        <w:i w:val="0"/>
        <w:kern w:val="0"/>
        <w:sz w:val="20"/>
        <w14:cntxtAlts w14:val="0"/>
      </w:rPr>
    </w:lvl>
    <w:lvl w:ilvl="1" w:tplc="C1A8F6DE">
      <w:start w:val="1"/>
      <w:numFmt w:val="lowerLetter"/>
      <w:lvlText w:val="%2)"/>
      <w:lvlJc w:val="left"/>
      <w:pPr>
        <w:ind w:left="1710" w:hanging="63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807B1B"/>
    <w:multiLevelType w:val="hybridMultilevel"/>
    <w:tmpl w:val="5630E954"/>
    <w:lvl w:ilvl="0" w:tplc="FFFFFFFF">
      <w:start w:val="1"/>
      <w:numFmt w:val="lowerLetter"/>
      <w:lvlText w:val="%1)"/>
      <w:lvlJc w:val="left"/>
      <w:pPr>
        <w:ind w:left="2591" w:hanging="360"/>
      </w:pPr>
    </w:lvl>
    <w:lvl w:ilvl="1" w:tplc="08090017">
      <w:start w:val="1"/>
      <w:numFmt w:val="lowerLetter"/>
      <w:lvlText w:val="%2)"/>
      <w:lvlJc w:val="left"/>
      <w:pPr>
        <w:ind w:left="720"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61"/>
    <w:rsid w:val="001302D4"/>
    <w:rsid w:val="00BD4261"/>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E1D20"/>
  <w15:chartTrackingRefBased/>
  <w15:docId w15:val="{506EEF21-09DB-4DD0-ADA9-0AF1321A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261"/>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4261"/>
    <w:pPr>
      <w:ind w:left="720"/>
      <w:contextualSpacing/>
    </w:pPr>
  </w:style>
  <w:style w:type="paragraph" w:customStyle="1" w:styleId="CH1">
    <w:name w:val="CH1"/>
    <w:basedOn w:val="a"/>
    <w:next w:val="CH2"/>
    <w:qFormat/>
    <w:rsid w:val="00BD4261"/>
    <w:pPr>
      <w:keepNext/>
      <w:keepLines/>
      <w:tabs>
        <w:tab w:val="clear" w:pos="1814"/>
        <w:tab w:val="clear" w:pos="2381"/>
        <w:tab w:val="clear" w:pos="2948"/>
        <w:tab w:val="clear" w:pos="3515"/>
        <w:tab w:val="left" w:pos="624"/>
        <w:tab w:val="right" w:pos="851"/>
        <w:tab w:val="left" w:pos="1871"/>
        <w:tab w:val="left" w:pos="2495"/>
        <w:tab w:val="left" w:pos="3119"/>
        <w:tab w:val="left" w:pos="3742"/>
        <w:tab w:val="left" w:pos="4366"/>
      </w:tabs>
      <w:suppressAutoHyphens/>
      <w:spacing w:before="240" w:after="120"/>
      <w:ind w:left="1247" w:right="284" w:hanging="1247"/>
    </w:pPr>
    <w:rPr>
      <w:b/>
      <w:sz w:val="28"/>
      <w:szCs w:val="28"/>
    </w:rPr>
  </w:style>
  <w:style w:type="paragraph" w:customStyle="1" w:styleId="CH2">
    <w:name w:val="CH2"/>
    <w:basedOn w:val="a"/>
    <w:next w:val="Normalnumber"/>
    <w:qFormat/>
    <w:rsid w:val="00BD4261"/>
    <w:pPr>
      <w:keepNext/>
      <w:keepLines/>
      <w:tabs>
        <w:tab w:val="clear" w:pos="1814"/>
        <w:tab w:val="clear" w:pos="2381"/>
        <w:tab w:val="clear" w:pos="2948"/>
        <w:tab w:val="clear" w:pos="3515"/>
        <w:tab w:val="left" w:pos="624"/>
        <w:tab w:val="right" w:pos="851"/>
        <w:tab w:val="left" w:pos="1871"/>
        <w:tab w:val="left" w:pos="2495"/>
        <w:tab w:val="left" w:pos="3119"/>
        <w:tab w:val="left" w:pos="3742"/>
        <w:tab w:val="left" w:pos="4366"/>
      </w:tabs>
      <w:suppressAutoHyphens/>
      <w:spacing w:before="240" w:after="120"/>
      <w:ind w:left="1247" w:right="284" w:hanging="1247"/>
    </w:pPr>
    <w:rPr>
      <w:b/>
      <w:sz w:val="24"/>
      <w:szCs w:val="24"/>
    </w:rPr>
  </w:style>
  <w:style w:type="paragraph" w:customStyle="1" w:styleId="CH3">
    <w:name w:val="CH3"/>
    <w:basedOn w:val="a"/>
    <w:next w:val="Normalnumber"/>
    <w:qFormat/>
    <w:rsid w:val="00BD4261"/>
    <w:pPr>
      <w:keepNext/>
      <w:keepLines/>
      <w:tabs>
        <w:tab w:val="clear" w:pos="1814"/>
        <w:tab w:val="clear" w:pos="2381"/>
        <w:tab w:val="clear" w:pos="2948"/>
        <w:tab w:val="clear" w:pos="3515"/>
        <w:tab w:val="left" w:pos="624"/>
        <w:tab w:val="right" w:pos="851"/>
        <w:tab w:val="left" w:pos="1871"/>
        <w:tab w:val="left" w:pos="2495"/>
        <w:tab w:val="left" w:pos="3119"/>
        <w:tab w:val="left" w:pos="3742"/>
        <w:tab w:val="left" w:pos="4082"/>
        <w:tab w:val="left" w:pos="4366"/>
      </w:tabs>
      <w:suppressAutoHyphens/>
      <w:spacing w:after="120"/>
      <w:ind w:left="1247" w:right="284" w:hanging="1247"/>
    </w:pPr>
    <w:rPr>
      <w:b/>
    </w:rPr>
  </w:style>
  <w:style w:type="paragraph" w:customStyle="1" w:styleId="Footer-pool">
    <w:name w:val="Footer-pool"/>
    <w:basedOn w:val="a"/>
    <w:next w:val="a"/>
    <w:rsid w:val="00BD4261"/>
    <w:pPr>
      <w:tabs>
        <w:tab w:val="clear" w:pos="1814"/>
        <w:tab w:val="clear" w:pos="2381"/>
        <w:tab w:val="clear" w:pos="2948"/>
        <w:tab w:val="clear" w:pos="3515"/>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a"/>
    <w:next w:val="a"/>
    <w:rsid w:val="00BD4261"/>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center" w:pos="4536"/>
        <w:tab w:val="right" w:pos="9072"/>
      </w:tabs>
      <w:spacing w:after="120"/>
    </w:pPr>
    <w:rPr>
      <w:b/>
      <w:sz w:val="18"/>
    </w:rPr>
  </w:style>
  <w:style w:type="character" w:styleId="a4">
    <w:name w:val="footnote reference"/>
    <w:aliases w:val="ftref,16 Point,Superscript 6 Point,number,SUPERS,Footnote Reference Superscript,(Ref. de nota al pie),fr,Ref,de nota al pie,註腳內容,de nota al pie + (Asian) MS Mincho,Footnote text,Footnote Text1,Footnote Text2,Footnote reference number"/>
    <w:rsid w:val="00BD4261"/>
    <w:rPr>
      <w:rFonts w:ascii="Times New Roman" w:hAnsi="Times New Roman"/>
      <w:color w:val="auto"/>
      <w:sz w:val="20"/>
      <w:szCs w:val="18"/>
      <w:vertAlign w:val="superscript"/>
      <w:lang w:val="ru-RU"/>
    </w:rPr>
  </w:style>
  <w:style w:type="paragraph" w:styleId="a5">
    <w:name w:val="footnote text"/>
    <w:basedOn w:val="a"/>
    <w:link w:val="a6"/>
    <w:uiPriority w:val="99"/>
    <w:rsid w:val="00BD4261"/>
    <w:pPr>
      <w:tabs>
        <w:tab w:val="left" w:pos="4082"/>
      </w:tabs>
      <w:spacing w:before="20" w:after="40"/>
      <w:ind w:left="1247"/>
    </w:pPr>
    <w:rPr>
      <w:sz w:val="18"/>
    </w:rPr>
  </w:style>
  <w:style w:type="character" w:customStyle="1" w:styleId="a6">
    <w:name w:val="Текст сноски Знак"/>
    <w:basedOn w:val="a0"/>
    <w:link w:val="a5"/>
    <w:uiPriority w:val="99"/>
    <w:rsid w:val="00BD4261"/>
    <w:rPr>
      <w:rFonts w:ascii="Times New Roman" w:eastAsia="Times New Roman" w:hAnsi="Times New Roman" w:cs="Times New Roman"/>
      <w:sz w:val="18"/>
      <w:szCs w:val="20"/>
      <w:lang w:val="ru-RU"/>
    </w:rPr>
  </w:style>
  <w:style w:type="character" w:styleId="a7">
    <w:name w:val="Hyperlink"/>
    <w:basedOn w:val="a0"/>
    <w:uiPriority w:val="99"/>
    <w:rsid w:val="00BD4261"/>
    <w:rPr>
      <w:color w:val="0563C1" w:themeColor="hyperlink"/>
      <w:u w:val="none"/>
      <w:lang w:val="ru-RU"/>
    </w:rPr>
  </w:style>
  <w:style w:type="numbering" w:customStyle="1" w:styleId="Normallist">
    <w:name w:val="Normal_list"/>
    <w:basedOn w:val="a2"/>
    <w:rsid w:val="00BD4261"/>
    <w:pPr>
      <w:numPr>
        <w:numId w:val="1"/>
      </w:numPr>
    </w:pPr>
  </w:style>
  <w:style w:type="paragraph" w:customStyle="1" w:styleId="Normalnumber">
    <w:name w:val="Normal_number"/>
    <w:basedOn w:val="a"/>
    <w:link w:val="NormalnumberChar"/>
    <w:qFormat/>
    <w:rsid w:val="00BD4261"/>
    <w:pPr>
      <w:numPr>
        <w:numId w:val="1"/>
      </w:numPr>
      <w:tabs>
        <w:tab w:val="clear" w:pos="1814"/>
        <w:tab w:val="clear" w:pos="2381"/>
        <w:tab w:val="clear" w:pos="2948"/>
        <w:tab w:val="clear" w:pos="3515"/>
        <w:tab w:val="left" w:pos="624"/>
        <w:tab w:val="left" w:pos="2495"/>
        <w:tab w:val="left" w:pos="3119"/>
        <w:tab w:val="left" w:pos="3742"/>
        <w:tab w:val="left" w:pos="4366"/>
      </w:tabs>
      <w:spacing w:after="120"/>
    </w:pPr>
  </w:style>
  <w:style w:type="paragraph" w:customStyle="1" w:styleId="Footer-jobnumber">
    <w:name w:val="Footer-jobnumber"/>
    <w:basedOn w:val="a"/>
    <w:qFormat/>
    <w:rsid w:val="00BD4261"/>
    <w:pPr>
      <w:tabs>
        <w:tab w:val="clear" w:pos="1247"/>
        <w:tab w:val="clear" w:pos="1814"/>
        <w:tab w:val="clear" w:pos="2381"/>
        <w:tab w:val="clear" w:pos="2948"/>
        <w:tab w:val="clear" w:pos="3515"/>
        <w:tab w:val="left" w:pos="1701"/>
      </w:tabs>
    </w:pPr>
  </w:style>
  <w:style w:type="character" w:customStyle="1" w:styleId="NormalnumberChar">
    <w:name w:val="Normal_number Char"/>
    <w:link w:val="Normalnumber"/>
    <w:rsid w:val="00BD4261"/>
    <w:rPr>
      <w:rFonts w:ascii="Times New Roman" w:eastAsia="Times New Roman" w:hAnsi="Times New Roman" w:cs="Times New Roman"/>
      <w:sz w:val="20"/>
      <w:szCs w:val="20"/>
      <w:lang w:val="ru-RU"/>
    </w:rPr>
  </w:style>
  <w:style w:type="character" w:customStyle="1" w:styleId="s1">
    <w:name w:val="s1"/>
    <w:basedOn w:val="a0"/>
    <w:rsid w:val="00BD4261"/>
  </w:style>
  <w:style w:type="character" w:customStyle="1" w:styleId="s2">
    <w:name w:val="s2"/>
    <w:basedOn w:val="a0"/>
    <w:rsid w:val="00BD4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lo.org/sector/Resources/publications/WCMS_315228/lang--en/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4862</Words>
  <Characters>27719</Characters>
  <Application>Microsoft Office Word</Application>
  <DocSecurity>0</DocSecurity>
  <Lines>230</Lines>
  <Paragraphs>65</Paragraphs>
  <ScaleCrop>false</ScaleCrop>
  <Company/>
  <LinksUpToDate>false</LinksUpToDate>
  <CharactersWithSpaces>32516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Мурзабаева Асель</dc:creator>
  <cp:keywords/>
  <dc:description/>
  <cp:lastModifiedBy>Мурзабаева Асель</cp:lastModifiedBy>
  <cp:revision>1</cp:revision>
  <dcterms:created xsi:type="dcterms:W3CDTF">2025-04-23T16:04:00Z</dcterms:created>
  <dcterms:modified xsi:type="dcterms:W3CDTF">2025-04-23T16:08:00Z</dcterms:modified>
</cp:coreProperties>
</file>