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7"/>
        <w:ind w:left="0" w:right="39" w:firstLine="0"/>
        <w:jc w:val="center"/>
        <w:rPr>
          <w:b/>
          <w:sz w:val="23"/>
        </w:rPr>
      </w:pPr>
      <w:r>
        <w:rPr>
          <w:b/>
          <w:sz w:val="23"/>
        </w:rPr>
        <w:drawing>
          <wp:anchor distT="0" distB="0" distL="0" distR="0" allowOverlap="1" layoutInCell="1" locked="0" behindDoc="0" simplePos="0" relativeHeight="15728640">
            <wp:simplePos x="0" y="0"/>
            <wp:positionH relativeFrom="page">
              <wp:posOffset>6228954</wp:posOffset>
            </wp:positionH>
            <wp:positionV relativeFrom="paragraph">
              <wp:posOffset>177082</wp:posOffset>
            </wp:positionV>
            <wp:extent cx="743411" cy="74341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43411" cy="743411"/>
                    </a:xfrm>
                    <a:prstGeom prst="rect">
                      <a:avLst/>
                    </a:prstGeom>
                  </pic:spPr>
                </pic:pic>
              </a:graphicData>
            </a:graphic>
          </wp:anchor>
        </w:drawing>
      </w:r>
      <w:r>
        <w:rPr>
          <w:b/>
          <w:sz w:val="23"/>
        </w:rPr>
        <w:t>European</w:t>
      </w:r>
      <w:r>
        <w:rPr>
          <w:b/>
          <w:spacing w:val="-16"/>
          <w:sz w:val="23"/>
        </w:rPr>
        <w:t> </w:t>
      </w:r>
      <w:r>
        <w:rPr>
          <w:b/>
          <w:sz w:val="23"/>
        </w:rPr>
        <w:t>Commission</w:t>
      </w:r>
      <w:r>
        <w:rPr>
          <w:b/>
          <w:spacing w:val="-16"/>
          <w:sz w:val="23"/>
        </w:rPr>
        <w:t> </w:t>
      </w:r>
      <w:r>
        <w:rPr>
          <w:b/>
          <w:sz w:val="23"/>
        </w:rPr>
        <w:t>-</w:t>
      </w:r>
      <w:r>
        <w:rPr>
          <w:b/>
          <w:spacing w:val="-15"/>
          <w:sz w:val="23"/>
        </w:rPr>
        <w:t> </w:t>
      </w:r>
      <w:r>
        <w:rPr>
          <w:b/>
          <w:sz w:val="23"/>
        </w:rPr>
        <w:t>Questions</w:t>
      </w:r>
      <w:r>
        <w:rPr>
          <w:b/>
          <w:spacing w:val="-16"/>
          <w:sz w:val="23"/>
        </w:rPr>
        <w:t> </w:t>
      </w:r>
      <w:r>
        <w:rPr>
          <w:b/>
          <w:sz w:val="23"/>
        </w:rPr>
        <w:t>and</w:t>
      </w:r>
      <w:r>
        <w:rPr>
          <w:b/>
          <w:spacing w:val="-15"/>
          <w:sz w:val="23"/>
        </w:rPr>
        <w:t> </w:t>
      </w:r>
      <w:r>
        <w:rPr>
          <w:b/>
          <w:spacing w:val="-2"/>
          <w:sz w:val="23"/>
        </w:rPr>
        <w:t>answers</w:t>
      </w:r>
    </w:p>
    <w:p>
      <w:pPr>
        <w:pStyle w:val="BodyText"/>
        <w:spacing w:before="0"/>
        <w:ind w:left="136"/>
      </w:pPr>
      <w:r>
        <w:rPr/>
        <w:drawing>
          <wp:inline distT="0" distB="0" distL="0" distR="0">
            <wp:extent cx="1255935" cy="623887"/>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255935" cy="623887"/>
                    </a:xfrm>
                    <a:prstGeom prst="rect">
                      <a:avLst/>
                    </a:prstGeom>
                  </pic:spPr>
                </pic:pic>
              </a:graphicData>
            </a:graphic>
          </wp:inline>
        </w:drawing>
      </w:r>
      <w:r>
        <w:rPr/>
      </w:r>
    </w:p>
    <w:p>
      <w:pPr>
        <w:pStyle w:val="BodyText"/>
        <w:spacing w:before="0"/>
        <w:ind w:left="0"/>
        <w:rPr>
          <w:b/>
          <w:sz w:val="25"/>
        </w:rPr>
      </w:pPr>
    </w:p>
    <w:p>
      <w:pPr>
        <w:pStyle w:val="BodyText"/>
        <w:spacing w:before="102"/>
        <w:ind w:left="0"/>
        <w:rPr>
          <w:b/>
          <w:sz w:val="25"/>
        </w:rPr>
      </w:pPr>
    </w:p>
    <w:p>
      <w:pPr>
        <w:pStyle w:val="Title"/>
      </w:pPr>
      <w:r>
        <w:rPr/>
        <w:t>Questions</w:t>
      </w:r>
      <w:r>
        <w:rPr>
          <w:spacing w:val="-7"/>
        </w:rPr>
        <w:t> </w:t>
      </w:r>
      <w:r>
        <w:rPr/>
        <w:t>and</w:t>
      </w:r>
      <w:r>
        <w:rPr>
          <w:spacing w:val="-4"/>
        </w:rPr>
        <w:t> </w:t>
      </w:r>
      <w:r>
        <w:rPr/>
        <w:t>answers</w:t>
      </w:r>
      <w:r>
        <w:rPr>
          <w:spacing w:val="-4"/>
        </w:rPr>
        <w:t> </w:t>
      </w:r>
      <w:r>
        <w:rPr/>
        <w:t>on</w:t>
      </w:r>
      <w:r>
        <w:rPr>
          <w:spacing w:val="-4"/>
        </w:rPr>
        <w:t> </w:t>
      </w:r>
      <w:r>
        <w:rPr/>
        <w:t>the</w:t>
      </w:r>
      <w:r>
        <w:rPr>
          <w:spacing w:val="-5"/>
        </w:rPr>
        <w:t> </w:t>
      </w:r>
      <w:r>
        <w:rPr/>
        <w:t>EU</w:t>
      </w:r>
      <w:r>
        <w:rPr>
          <w:spacing w:val="-4"/>
        </w:rPr>
        <w:t> </w:t>
      </w:r>
      <w:r>
        <w:rPr/>
        <w:t>Preparedness</w:t>
      </w:r>
      <w:r>
        <w:rPr>
          <w:spacing w:val="-4"/>
        </w:rPr>
        <w:t> </w:t>
      </w:r>
      <w:r>
        <w:rPr/>
        <w:t>Union</w:t>
      </w:r>
      <w:r>
        <w:rPr>
          <w:spacing w:val="-4"/>
        </w:rPr>
        <w:t> </w:t>
      </w:r>
      <w:r>
        <w:rPr>
          <w:spacing w:val="-2"/>
        </w:rPr>
        <w:t>Strategy</w:t>
      </w:r>
    </w:p>
    <w:p>
      <w:pPr>
        <w:spacing w:before="208"/>
        <w:ind w:left="100" w:right="0" w:firstLine="0"/>
        <w:jc w:val="left"/>
        <w:rPr>
          <w:sz w:val="23"/>
        </w:rPr>
      </w:pPr>
      <w:r>
        <w:rPr>
          <w:sz w:val="23"/>
        </w:rPr>
        <w:t>Brussels,</w:t>
      </w:r>
      <w:r>
        <w:rPr>
          <w:spacing w:val="-13"/>
          <w:sz w:val="23"/>
        </w:rPr>
        <w:t> </w:t>
      </w:r>
      <w:r>
        <w:rPr>
          <w:sz w:val="23"/>
        </w:rPr>
        <w:t>26</w:t>
      </w:r>
      <w:r>
        <w:rPr>
          <w:spacing w:val="-12"/>
          <w:sz w:val="23"/>
        </w:rPr>
        <w:t> </w:t>
      </w:r>
      <w:r>
        <w:rPr>
          <w:sz w:val="23"/>
        </w:rPr>
        <w:t>March</w:t>
      </w:r>
      <w:r>
        <w:rPr>
          <w:spacing w:val="-12"/>
          <w:sz w:val="23"/>
        </w:rPr>
        <w:t> </w:t>
      </w:r>
      <w:r>
        <w:rPr>
          <w:spacing w:val="-4"/>
          <w:sz w:val="23"/>
        </w:rPr>
        <w:t>2025</w:t>
      </w:r>
    </w:p>
    <w:p>
      <w:pPr>
        <w:pStyle w:val="Heading1"/>
        <w:spacing w:before="159"/>
      </w:pPr>
      <w:r>
        <w:rPr/>
        <w:t>Why</w:t>
      </w:r>
      <w:r>
        <w:rPr>
          <w:spacing w:val="10"/>
        </w:rPr>
        <w:t> </w:t>
      </w:r>
      <w:r>
        <w:rPr/>
        <w:t>is</w:t>
      </w:r>
      <w:r>
        <w:rPr>
          <w:spacing w:val="11"/>
        </w:rPr>
        <w:t> </w:t>
      </w:r>
      <w:r>
        <w:rPr/>
        <w:t>the</w:t>
      </w:r>
      <w:r>
        <w:rPr>
          <w:spacing w:val="10"/>
        </w:rPr>
        <w:t> </w:t>
      </w:r>
      <w:r>
        <w:rPr/>
        <w:t>Preparedness</w:t>
      </w:r>
      <w:r>
        <w:rPr>
          <w:spacing w:val="11"/>
        </w:rPr>
        <w:t> </w:t>
      </w:r>
      <w:r>
        <w:rPr/>
        <w:t>Union</w:t>
      </w:r>
      <w:r>
        <w:rPr>
          <w:spacing w:val="10"/>
        </w:rPr>
        <w:t> </w:t>
      </w:r>
      <w:r>
        <w:rPr/>
        <w:t>Strategy</w:t>
      </w:r>
      <w:r>
        <w:rPr>
          <w:spacing w:val="11"/>
        </w:rPr>
        <w:t> </w:t>
      </w:r>
      <w:r>
        <w:rPr>
          <w:spacing w:val="-2"/>
        </w:rPr>
        <w:t>needed?</w:t>
      </w:r>
    </w:p>
    <w:p>
      <w:pPr>
        <w:pStyle w:val="BodyText"/>
        <w:spacing w:line="261" w:lineRule="auto"/>
        <w:ind w:left="100" w:right="347"/>
      </w:pPr>
      <w:r>
        <w:rPr/>
        <w:t>The European Union is facing an increasingly complex and volatile security landscape including rising geopolitical tensions, state-sponsored hybrid and cyberattacks, and foreign interference. Climate change and environmental degradation are exacerbating extreme weather events, and the COVID-19 pandemic revealed vulnerabilities in critical supply chains and health services. The pandemic and Russia's illegal war of aggression against Ukraine showed also the clear added value that the EU can bring to preparedness and crisis planning in such scenarios.</w:t>
      </w:r>
    </w:p>
    <w:p>
      <w:pPr>
        <w:pStyle w:val="BodyText"/>
        <w:spacing w:line="261" w:lineRule="auto" w:before="139"/>
        <w:ind w:left="100" w:right="347"/>
      </w:pPr>
      <w:r>
        <w:rPr/>
        <w:t>First, we need to better understand what to prepare for. the interconnected risks and threats Europe</w:t>
      </w:r>
      <w:r>
        <w:rPr>
          <w:spacing w:val="40"/>
        </w:rPr>
        <w:t> </w:t>
      </w:r>
      <w:r>
        <w:rPr/>
        <w:t>is facing today and in the future require a coordinated approach to preparedness, moving from reactive to proactive crisis management and ensuring a culture of resilience across society.</w:t>
      </w:r>
    </w:p>
    <w:p>
      <w:pPr>
        <w:pStyle w:val="BodyText"/>
        <w:spacing w:line="261" w:lineRule="auto" w:before="141"/>
        <w:ind w:left="100" w:right="347"/>
      </w:pPr>
      <w:r>
        <w:rPr/>
        <w:t>Second, the EU has significantly upscaled its crisis management toolbox over the last years while recent large-scale and long-lasting crisis. However, this toolbox remains fragmented across different institutions, services and agencies. With the Preparedness Union we will bring these capabilities together within a coordinated umbrella.</w:t>
      </w:r>
    </w:p>
    <w:p>
      <w:pPr>
        <w:pStyle w:val="BodyText"/>
        <w:spacing w:line="261" w:lineRule="auto" w:before="141"/>
        <w:ind w:left="100" w:right="347"/>
      </w:pPr>
      <w:r>
        <w:rPr/>
        <w:t>Third, to be ready for all worst-case scenarios, we need upscale our preparedness and bring all hands on board. Businesses, civil society organisations and citizens have valuable expertise and skills to support societal preparedness and resilience. The Preparedness Strategy offers support to better integrate them into our collective civilian preparedness.</w:t>
      </w:r>
    </w:p>
    <w:p>
      <w:pPr>
        <w:pStyle w:val="Heading1"/>
      </w:pPr>
      <w:r>
        <w:rPr/>
        <w:t>What</w:t>
      </w:r>
      <w:r>
        <w:rPr>
          <w:spacing w:val="7"/>
        </w:rPr>
        <w:t> </w:t>
      </w:r>
      <w:r>
        <w:rPr/>
        <w:t>type</w:t>
      </w:r>
      <w:r>
        <w:rPr>
          <w:spacing w:val="8"/>
        </w:rPr>
        <w:t> </w:t>
      </w:r>
      <w:r>
        <w:rPr/>
        <w:t>of</w:t>
      </w:r>
      <w:r>
        <w:rPr>
          <w:spacing w:val="8"/>
        </w:rPr>
        <w:t> </w:t>
      </w:r>
      <w:r>
        <w:rPr/>
        <w:t>crises</w:t>
      </w:r>
      <w:r>
        <w:rPr>
          <w:spacing w:val="8"/>
        </w:rPr>
        <w:t> </w:t>
      </w:r>
      <w:r>
        <w:rPr/>
        <w:t>is</w:t>
      </w:r>
      <w:r>
        <w:rPr>
          <w:spacing w:val="7"/>
        </w:rPr>
        <w:t> </w:t>
      </w:r>
      <w:r>
        <w:rPr/>
        <w:t>the</w:t>
      </w:r>
      <w:r>
        <w:rPr>
          <w:spacing w:val="8"/>
        </w:rPr>
        <w:t> </w:t>
      </w:r>
      <w:r>
        <w:rPr/>
        <w:t>EU</w:t>
      </w:r>
      <w:r>
        <w:rPr>
          <w:spacing w:val="8"/>
        </w:rPr>
        <w:t> </w:t>
      </w:r>
      <w:r>
        <w:rPr/>
        <w:t>preparing</w:t>
      </w:r>
      <w:r>
        <w:rPr>
          <w:spacing w:val="8"/>
        </w:rPr>
        <w:t> </w:t>
      </w:r>
      <w:r>
        <w:rPr>
          <w:spacing w:val="-4"/>
        </w:rPr>
        <w:t>for?</w:t>
      </w:r>
    </w:p>
    <w:p>
      <w:pPr>
        <w:pStyle w:val="BodyText"/>
        <w:spacing w:line="261" w:lineRule="auto"/>
        <w:ind w:left="100" w:right="975"/>
      </w:pPr>
      <w:r>
        <w:rPr/>
        <w:t>The EU is preparing for a broad spectrum of risks and threats, encompassing both natural and human-induced disasters. This includes:</w:t>
      </w:r>
    </w:p>
    <w:p>
      <w:pPr>
        <w:pStyle w:val="BodyText"/>
        <w:spacing w:line="261" w:lineRule="auto" w:before="143"/>
        <w:ind w:right="347" w:hanging="235"/>
      </w:pPr>
      <w:r>
        <w:rPr>
          <w:position w:val="3"/>
        </w:rPr>
        <w:drawing>
          <wp:inline distT="0" distB="0" distL="0" distR="0">
            <wp:extent cx="53354" cy="53354"/>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53354" cy="53354"/>
                    </a:xfrm>
                    <a:prstGeom prst="rect">
                      <a:avLst/>
                    </a:prstGeom>
                  </pic:spPr>
                </pic:pic>
              </a:graphicData>
            </a:graphic>
          </wp:inline>
        </w:drawing>
      </w:r>
      <w:r>
        <w:rPr>
          <w:position w:val="3"/>
        </w:rPr>
      </w:r>
      <w:r>
        <w:rPr>
          <w:rFonts w:ascii="Times New Roman"/>
          <w:spacing w:val="80"/>
        </w:rPr>
        <w:t> </w:t>
      </w:r>
      <w:r>
        <w:rPr/>
        <w:t>Natural disasters: floods, wildfires, earthquakes, and extreme weather events exacerbated by climate change.</w:t>
      </w:r>
    </w:p>
    <w:p>
      <w:pPr>
        <w:pStyle w:val="BodyText"/>
        <w:spacing w:before="94"/>
        <w:ind w:left="346"/>
      </w:pPr>
      <w:r>
        <w:rPr>
          <w:position w:val="3"/>
        </w:rPr>
        <w:drawing>
          <wp:inline distT="0" distB="0" distL="0" distR="0">
            <wp:extent cx="53354" cy="53354"/>
            <wp:effectExtent l="0" t="0" r="0" b="0"/>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53354" cy="53354"/>
                    </a:xfrm>
                    <a:prstGeom prst="rect">
                      <a:avLst/>
                    </a:prstGeom>
                  </pic:spPr>
                </pic:pic>
              </a:graphicData>
            </a:graphic>
          </wp:inline>
        </w:drawing>
      </w:r>
      <w:r>
        <w:rPr>
          <w:position w:val="3"/>
        </w:rPr>
      </w:r>
      <w:r>
        <w:rPr>
          <w:rFonts w:ascii="Times New Roman"/>
          <w:spacing w:val="40"/>
        </w:rPr>
        <w:t>  </w:t>
      </w:r>
      <w:r>
        <w:rPr/>
        <w:t>Human-induced</w:t>
      </w:r>
      <w:r>
        <w:rPr>
          <w:spacing w:val="21"/>
        </w:rPr>
        <w:t> </w:t>
      </w:r>
      <w:r>
        <w:rPr/>
        <w:t>disasters:</w:t>
      </w:r>
      <w:r>
        <w:rPr>
          <w:spacing w:val="21"/>
        </w:rPr>
        <w:t> </w:t>
      </w:r>
      <w:r>
        <w:rPr/>
        <w:t>industrial</w:t>
      </w:r>
      <w:r>
        <w:rPr>
          <w:spacing w:val="21"/>
        </w:rPr>
        <w:t> </w:t>
      </w:r>
      <w:r>
        <w:rPr/>
        <w:t>accidents,</w:t>
      </w:r>
      <w:r>
        <w:rPr>
          <w:spacing w:val="21"/>
        </w:rPr>
        <w:t> </w:t>
      </w:r>
      <w:r>
        <w:rPr/>
        <w:t>technological</w:t>
      </w:r>
      <w:r>
        <w:rPr>
          <w:spacing w:val="21"/>
        </w:rPr>
        <w:t> </w:t>
      </w:r>
      <w:r>
        <w:rPr/>
        <w:t>failures,</w:t>
      </w:r>
      <w:r>
        <w:rPr>
          <w:spacing w:val="21"/>
        </w:rPr>
        <w:t> </w:t>
      </w:r>
      <w:r>
        <w:rPr/>
        <w:t>and</w:t>
      </w:r>
      <w:r>
        <w:rPr>
          <w:spacing w:val="21"/>
        </w:rPr>
        <w:t> </w:t>
      </w:r>
      <w:r>
        <w:rPr/>
        <w:t>pandemics.</w:t>
      </w:r>
    </w:p>
    <w:p>
      <w:pPr>
        <w:pStyle w:val="BodyText"/>
        <w:spacing w:line="261" w:lineRule="auto" w:before="117"/>
        <w:ind w:right="571" w:hanging="235"/>
      </w:pPr>
      <w:r>
        <w:rPr/>
        <mc:AlternateContent>
          <mc:Choice Requires="wps">
            <w:drawing>
              <wp:anchor distT="0" distB="0" distL="0" distR="0" allowOverlap="1" layoutInCell="1" locked="0" behindDoc="1" simplePos="0" relativeHeight="487512576">
                <wp:simplePos x="0" y="0"/>
                <wp:positionH relativeFrom="page">
                  <wp:posOffset>5148645</wp:posOffset>
                </wp:positionH>
                <wp:positionV relativeFrom="paragraph">
                  <wp:posOffset>213648</wp:posOffset>
                </wp:positionV>
                <wp:extent cx="46355"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46355" cy="1270"/>
                        </a:xfrm>
                        <a:custGeom>
                          <a:avLst/>
                          <a:gdLst/>
                          <a:ahLst/>
                          <a:cxnLst/>
                          <a:rect l="l" t="t" r="r" b="b"/>
                          <a:pathLst>
                            <a:path w="46355" h="0">
                              <a:moveTo>
                                <a:pt x="0" y="0"/>
                              </a:moveTo>
                              <a:lnTo>
                                <a:pt x="45732" y="0"/>
                              </a:lnTo>
                            </a:path>
                          </a:pathLst>
                        </a:custGeom>
                        <a:ln w="762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03904" from="405.405121pt,16.822683pt" to="409.006125pt,16.822683pt" stroked="true" strokeweight=".600167pt" strokecolor="#000000">
                <v:stroke dashstyle="solid"/>
                <w10:wrap type="none"/>
              </v:line>
            </w:pict>
          </mc:Fallback>
        </mc:AlternateContent>
      </w:r>
      <w:r>
        <w:rPr>
          <w:position w:val="3"/>
        </w:rPr>
        <w:drawing>
          <wp:inline distT="0" distB="0" distL="0" distR="0">
            <wp:extent cx="53354" cy="53354"/>
            <wp:effectExtent l="0" t="0" r="0" b="0"/>
            <wp:docPr id="6" name="Image 6"/>
            <wp:cNvGraphicFramePr>
              <a:graphicFrameLocks/>
            </wp:cNvGraphicFramePr>
            <a:graphic>
              <a:graphicData uri="http://schemas.openxmlformats.org/drawingml/2006/picture">
                <pic:pic>
                  <pic:nvPicPr>
                    <pic:cNvPr id="6" name="Image 6"/>
                    <pic:cNvPicPr/>
                  </pic:nvPicPr>
                  <pic:blipFill>
                    <a:blip r:embed="rId8" cstate="print"/>
                    <a:stretch>
                      <a:fillRect/>
                    </a:stretch>
                  </pic:blipFill>
                  <pic:spPr>
                    <a:xfrm>
                      <a:off x="0" y="0"/>
                      <a:ext cx="53354" cy="53354"/>
                    </a:xfrm>
                    <a:prstGeom prst="rect">
                      <a:avLst/>
                    </a:prstGeom>
                  </pic:spPr>
                </pic:pic>
              </a:graphicData>
            </a:graphic>
          </wp:inline>
        </w:drawing>
      </w:r>
      <w:r>
        <w:rPr>
          <w:position w:val="3"/>
        </w:rPr>
      </w:r>
      <w:r>
        <w:rPr>
          <w:rFonts w:ascii="Times New Roman"/>
          <w:spacing w:val="80"/>
        </w:rPr>
        <w:t> </w:t>
      </w:r>
      <w:r>
        <w:rPr/>
        <w:t>Hybrid threats: cyberattacks, disinformation campaigns and foreign information manipulation and interference (FIMI), and sabotage of critical infrastructure.</w:t>
      </w:r>
    </w:p>
    <w:p>
      <w:pPr>
        <w:pStyle w:val="BodyText"/>
        <w:spacing w:line="261" w:lineRule="auto" w:before="94"/>
        <w:ind w:right="975" w:hanging="235"/>
      </w:pPr>
      <w:r>
        <w:rPr>
          <w:position w:val="3"/>
        </w:rPr>
        <w:drawing>
          <wp:inline distT="0" distB="0" distL="0" distR="0">
            <wp:extent cx="53354" cy="53354"/>
            <wp:effectExtent l="0" t="0" r="0" b="0"/>
            <wp:docPr id="7" name="Image 7"/>
            <wp:cNvGraphicFramePr>
              <a:graphicFrameLocks/>
            </wp:cNvGraphicFramePr>
            <a:graphic>
              <a:graphicData uri="http://schemas.openxmlformats.org/drawingml/2006/picture">
                <pic:pic>
                  <pic:nvPicPr>
                    <pic:cNvPr id="7" name="Image 7"/>
                    <pic:cNvPicPr/>
                  </pic:nvPicPr>
                  <pic:blipFill>
                    <a:blip r:embed="rId8" cstate="print"/>
                    <a:stretch>
                      <a:fillRect/>
                    </a:stretch>
                  </pic:blipFill>
                  <pic:spPr>
                    <a:xfrm>
                      <a:off x="0" y="0"/>
                      <a:ext cx="53354" cy="53354"/>
                    </a:xfrm>
                    <a:prstGeom prst="rect">
                      <a:avLst/>
                    </a:prstGeom>
                  </pic:spPr>
                </pic:pic>
              </a:graphicData>
            </a:graphic>
          </wp:inline>
        </w:drawing>
      </w:r>
      <w:r>
        <w:rPr>
          <w:position w:val="3"/>
        </w:rPr>
      </w:r>
      <w:r>
        <w:rPr>
          <w:rFonts w:ascii="Times New Roman"/>
          <w:spacing w:val="80"/>
        </w:rPr>
        <w:t> </w:t>
      </w:r>
      <w:r>
        <w:rPr/>
        <w:t>Geopolitical crises: armed conflicts, including the possibility of armed aggression against Member States.</w:t>
      </w:r>
    </w:p>
    <w:p>
      <w:pPr>
        <w:pStyle w:val="Heading1"/>
        <w:spacing w:before="143"/>
      </w:pPr>
      <w:r>
        <w:rPr/>
        <w:t>What</w:t>
      </w:r>
      <w:r>
        <w:rPr>
          <w:spacing w:val="7"/>
        </w:rPr>
        <w:t> </w:t>
      </w:r>
      <w:r>
        <w:rPr/>
        <w:t>are</w:t>
      </w:r>
      <w:r>
        <w:rPr>
          <w:spacing w:val="7"/>
        </w:rPr>
        <w:t> </w:t>
      </w:r>
      <w:r>
        <w:rPr/>
        <w:t>the</w:t>
      </w:r>
      <w:r>
        <w:rPr>
          <w:spacing w:val="7"/>
        </w:rPr>
        <w:t> </w:t>
      </w:r>
      <w:r>
        <w:rPr/>
        <w:t>key</w:t>
      </w:r>
      <w:r>
        <w:rPr>
          <w:spacing w:val="7"/>
        </w:rPr>
        <w:t> </w:t>
      </w:r>
      <w:r>
        <w:rPr/>
        <w:t>areas</w:t>
      </w:r>
      <w:r>
        <w:rPr>
          <w:spacing w:val="7"/>
        </w:rPr>
        <w:t> </w:t>
      </w:r>
      <w:r>
        <w:rPr/>
        <w:t>of</w:t>
      </w:r>
      <w:r>
        <w:rPr>
          <w:spacing w:val="7"/>
        </w:rPr>
        <w:t> </w:t>
      </w:r>
      <w:r>
        <w:rPr/>
        <w:t>the</w:t>
      </w:r>
      <w:r>
        <w:rPr>
          <w:spacing w:val="7"/>
        </w:rPr>
        <w:t> </w:t>
      </w:r>
      <w:r>
        <w:rPr>
          <w:spacing w:val="-2"/>
        </w:rPr>
        <w:t>Strategy?</w:t>
      </w:r>
    </w:p>
    <w:p>
      <w:pPr>
        <w:pStyle w:val="BodyText"/>
        <w:ind w:left="100"/>
      </w:pPr>
      <w:r>
        <w:rPr/>
        <w:t>The</w:t>
      </w:r>
      <w:r>
        <w:rPr>
          <w:spacing w:val="7"/>
        </w:rPr>
        <w:t> </w:t>
      </w:r>
      <w:r>
        <w:rPr/>
        <w:t>strategy</w:t>
      </w:r>
      <w:r>
        <w:rPr>
          <w:spacing w:val="8"/>
        </w:rPr>
        <w:t> </w:t>
      </w:r>
      <w:r>
        <w:rPr/>
        <w:t>outlines</w:t>
      </w:r>
      <w:r>
        <w:rPr>
          <w:spacing w:val="7"/>
        </w:rPr>
        <w:t> </w:t>
      </w:r>
      <w:r>
        <w:rPr/>
        <w:t>seven</w:t>
      </w:r>
      <w:r>
        <w:rPr>
          <w:spacing w:val="8"/>
        </w:rPr>
        <w:t> </w:t>
      </w:r>
      <w:r>
        <w:rPr/>
        <w:t>key</w:t>
      </w:r>
      <w:r>
        <w:rPr>
          <w:spacing w:val="8"/>
        </w:rPr>
        <w:t> </w:t>
      </w:r>
      <w:r>
        <w:rPr/>
        <w:t>areas</w:t>
      </w:r>
      <w:r>
        <w:rPr>
          <w:spacing w:val="7"/>
        </w:rPr>
        <w:t> </w:t>
      </w:r>
      <w:r>
        <w:rPr/>
        <w:t>of</w:t>
      </w:r>
      <w:r>
        <w:rPr>
          <w:spacing w:val="8"/>
        </w:rPr>
        <w:t> </w:t>
      </w:r>
      <w:r>
        <w:rPr>
          <w:spacing w:val="-2"/>
        </w:rPr>
        <w:t>focus:</w:t>
      </w:r>
    </w:p>
    <w:p>
      <w:pPr>
        <w:pStyle w:val="BodyText"/>
        <w:spacing w:line="261" w:lineRule="auto"/>
        <w:ind w:right="347" w:hanging="235"/>
      </w:pPr>
      <w:r>
        <w:rPr>
          <w:position w:val="3"/>
        </w:rPr>
        <w:drawing>
          <wp:inline distT="0" distB="0" distL="0" distR="0">
            <wp:extent cx="53354" cy="53354"/>
            <wp:effectExtent l="0" t="0" r="0" b="0"/>
            <wp:docPr id="8" name="Image 8"/>
            <wp:cNvGraphicFramePr>
              <a:graphicFrameLocks/>
            </wp:cNvGraphicFramePr>
            <a:graphic>
              <a:graphicData uri="http://schemas.openxmlformats.org/drawingml/2006/picture">
                <pic:pic>
                  <pic:nvPicPr>
                    <pic:cNvPr id="8" name="Image 8"/>
                    <pic:cNvPicPr/>
                  </pic:nvPicPr>
                  <pic:blipFill>
                    <a:blip r:embed="rId7" cstate="print"/>
                    <a:stretch>
                      <a:fillRect/>
                    </a:stretch>
                  </pic:blipFill>
                  <pic:spPr>
                    <a:xfrm>
                      <a:off x="0" y="0"/>
                      <a:ext cx="53354" cy="53354"/>
                    </a:xfrm>
                    <a:prstGeom prst="rect">
                      <a:avLst/>
                    </a:prstGeom>
                  </pic:spPr>
                </pic:pic>
              </a:graphicData>
            </a:graphic>
          </wp:inline>
        </w:drawing>
      </w:r>
      <w:r>
        <w:rPr>
          <w:position w:val="3"/>
        </w:rPr>
      </w:r>
      <w:r>
        <w:rPr>
          <w:rFonts w:ascii="Times New Roman"/>
          <w:spacing w:val="80"/>
        </w:rPr>
        <w:t> </w:t>
      </w:r>
      <w:r>
        <w:rPr/>
        <w:t>Foresight and anticipation: Strengthening the EU's ability to identify and analyse emerging risks and threats. For example, this Strategy aims to improve the way Early Warning Systems work and increase capacity around horizon scanning on risks and threats. These in turn would help inform Member States and the Commission.</w:t>
      </w:r>
    </w:p>
    <w:p>
      <w:pPr>
        <w:pStyle w:val="BodyText"/>
        <w:spacing w:line="261" w:lineRule="auto" w:before="92"/>
        <w:ind w:right="571" w:hanging="235"/>
      </w:pPr>
      <w:r>
        <w:rPr>
          <w:position w:val="3"/>
        </w:rPr>
        <w:drawing>
          <wp:inline distT="0" distB="0" distL="0" distR="0">
            <wp:extent cx="53354" cy="53354"/>
            <wp:effectExtent l="0" t="0" r="0" b="0"/>
            <wp:docPr id="9" name="Image 9"/>
            <wp:cNvGraphicFramePr>
              <a:graphicFrameLocks/>
            </wp:cNvGraphicFramePr>
            <a:graphic>
              <a:graphicData uri="http://schemas.openxmlformats.org/drawingml/2006/picture">
                <pic:pic>
                  <pic:nvPicPr>
                    <pic:cNvPr id="9" name="Image 9"/>
                    <pic:cNvPicPr/>
                  </pic:nvPicPr>
                  <pic:blipFill>
                    <a:blip r:embed="rId8" cstate="print"/>
                    <a:stretch>
                      <a:fillRect/>
                    </a:stretch>
                  </pic:blipFill>
                  <pic:spPr>
                    <a:xfrm>
                      <a:off x="0" y="0"/>
                      <a:ext cx="53354" cy="53354"/>
                    </a:xfrm>
                    <a:prstGeom prst="rect">
                      <a:avLst/>
                    </a:prstGeom>
                  </pic:spPr>
                </pic:pic>
              </a:graphicData>
            </a:graphic>
          </wp:inline>
        </w:drawing>
      </w:r>
      <w:r>
        <w:rPr>
          <w:position w:val="3"/>
        </w:rPr>
      </w:r>
      <w:r>
        <w:rPr>
          <w:rFonts w:ascii="Times New Roman"/>
          <w:spacing w:val="80"/>
        </w:rPr>
        <w:t> </w:t>
      </w:r>
      <w:r>
        <w:rPr/>
        <w:t>Resilience of vital societal functions: Ensuring the continuity of essential services and infrastructure, including healthcare, transport, drinking water, telecommunications or public administration services, among others, even in the event of a crisis. Population preparedness and societal resilience: Empowering citizens and communities to prepare for and respond to </w:t>
      </w:r>
      <w:r>
        <w:rPr>
          <w:spacing w:val="-2"/>
        </w:rPr>
        <w:t>crises.</w:t>
      </w:r>
    </w:p>
    <w:p>
      <w:pPr>
        <w:pStyle w:val="BodyText"/>
        <w:spacing w:before="92"/>
        <w:ind w:left="346"/>
      </w:pPr>
      <w:r>
        <w:rPr>
          <w:position w:val="3"/>
        </w:rPr>
        <w:drawing>
          <wp:inline distT="0" distB="0" distL="0" distR="0">
            <wp:extent cx="53354" cy="53354"/>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8" cstate="print"/>
                    <a:stretch>
                      <a:fillRect/>
                    </a:stretch>
                  </pic:blipFill>
                  <pic:spPr>
                    <a:xfrm>
                      <a:off x="0" y="0"/>
                      <a:ext cx="53354" cy="53354"/>
                    </a:xfrm>
                    <a:prstGeom prst="rect">
                      <a:avLst/>
                    </a:prstGeom>
                  </pic:spPr>
                </pic:pic>
              </a:graphicData>
            </a:graphic>
          </wp:inline>
        </w:drawing>
      </w:r>
      <w:r>
        <w:rPr>
          <w:position w:val="3"/>
        </w:rPr>
      </w:r>
      <w:r>
        <w:rPr>
          <w:rFonts w:ascii="Times New Roman"/>
          <w:spacing w:val="40"/>
        </w:rPr>
        <w:t>  </w:t>
      </w:r>
      <w:r>
        <w:rPr/>
        <w:t>Public-private</w:t>
      </w:r>
      <w:r>
        <w:rPr>
          <w:spacing w:val="21"/>
        </w:rPr>
        <w:t> </w:t>
      </w:r>
      <w:r>
        <w:rPr/>
        <w:t>cooperation:</w:t>
      </w:r>
      <w:r>
        <w:rPr>
          <w:spacing w:val="21"/>
        </w:rPr>
        <w:t> </w:t>
      </w:r>
      <w:r>
        <w:rPr/>
        <w:t>Fostering</w:t>
      </w:r>
      <w:r>
        <w:rPr>
          <w:spacing w:val="21"/>
        </w:rPr>
        <w:t> </w:t>
      </w:r>
      <w:r>
        <w:rPr/>
        <w:t>collaboration</w:t>
      </w:r>
      <w:r>
        <w:rPr>
          <w:spacing w:val="21"/>
        </w:rPr>
        <w:t> </w:t>
      </w:r>
      <w:r>
        <w:rPr/>
        <w:t>between</w:t>
      </w:r>
      <w:r>
        <w:rPr>
          <w:spacing w:val="21"/>
        </w:rPr>
        <w:t> </w:t>
      </w:r>
      <w:r>
        <w:rPr/>
        <w:t>government</w:t>
      </w:r>
      <w:r>
        <w:rPr>
          <w:spacing w:val="21"/>
        </w:rPr>
        <w:t> </w:t>
      </w:r>
      <w:r>
        <w:rPr/>
        <w:t>and</w:t>
      </w:r>
      <w:r>
        <w:rPr>
          <w:spacing w:val="21"/>
        </w:rPr>
        <w:t> </w:t>
      </w:r>
      <w:r>
        <w:rPr/>
        <w:t>industry</w:t>
      </w:r>
      <w:r>
        <w:rPr>
          <w:spacing w:val="21"/>
        </w:rPr>
        <w:t> </w:t>
      </w:r>
      <w:r>
        <w:rPr/>
        <w:t>to</w:t>
      </w:r>
    </w:p>
    <w:p>
      <w:pPr>
        <w:pStyle w:val="BodyText"/>
        <w:spacing w:after="0"/>
        <w:sectPr>
          <w:type w:val="continuous"/>
          <w:pgSz w:w="11900" w:h="16840"/>
          <w:pgMar w:top="540" w:bottom="280" w:left="566" w:right="566"/>
        </w:sectPr>
      </w:pPr>
    </w:p>
    <w:p>
      <w:pPr>
        <w:pStyle w:val="BodyText"/>
        <w:spacing w:before="85"/>
      </w:pPr>
      <w:r>
        <w:rPr/>
        <w:t>enhance</w:t>
      </w:r>
      <w:r>
        <w:rPr>
          <w:spacing w:val="11"/>
        </w:rPr>
        <w:t> </w:t>
      </w:r>
      <w:r>
        <w:rPr>
          <w:spacing w:val="-2"/>
        </w:rPr>
        <w:t>preparedness.</w:t>
      </w:r>
    </w:p>
    <w:p>
      <w:pPr>
        <w:pStyle w:val="BodyText"/>
        <w:spacing w:before="117"/>
        <w:ind w:left="346"/>
      </w:pPr>
      <w:r>
        <w:rPr>
          <w:position w:val="3"/>
        </w:rPr>
        <w:drawing>
          <wp:inline distT="0" distB="0" distL="0" distR="0">
            <wp:extent cx="53354" cy="53354"/>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8" cstate="print"/>
                    <a:stretch>
                      <a:fillRect/>
                    </a:stretch>
                  </pic:blipFill>
                  <pic:spPr>
                    <a:xfrm>
                      <a:off x="0" y="0"/>
                      <a:ext cx="53354" cy="53354"/>
                    </a:xfrm>
                    <a:prstGeom prst="rect">
                      <a:avLst/>
                    </a:prstGeom>
                  </pic:spPr>
                </pic:pic>
              </a:graphicData>
            </a:graphic>
          </wp:inline>
        </w:drawing>
      </w:r>
      <w:r>
        <w:rPr>
          <w:position w:val="3"/>
        </w:rPr>
      </w:r>
      <w:r>
        <w:rPr>
          <w:rFonts w:ascii="Times New Roman"/>
          <w:spacing w:val="40"/>
        </w:rPr>
        <w:t>  </w:t>
      </w:r>
      <w:r>
        <w:rPr/>
        <w:t>Civil-military</w:t>
      </w:r>
      <w:r>
        <w:rPr>
          <w:spacing w:val="20"/>
        </w:rPr>
        <w:t> </w:t>
      </w:r>
      <w:r>
        <w:rPr/>
        <w:t>cooperation:</w:t>
      </w:r>
      <w:r>
        <w:rPr>
          <w:spacing w:val="20"/>
        </w:rPr>
        <w:t> </w:t>
      </w:r>
      <w:r>
        <w:rPr/>
        <w:t>Strengthening</w:t>
      </w:r>
      <w:r>
        <w:rPr>
          <w:spacing w:val="20"/>
        </w:rPr>
        <w:t> </w:t>
      </w:r>
      <w:r>
        <w:rPr/>
        <w:t>coordination</w:t>
      </w:r>
      <w:r>
        <w:rPr>
          <w:spacing w:val="20"/>
        </w:rPr>
        <w:t> </w:t>
      </w:r>
      <w:r>
        <w:rPr/>
        <w:t>between</w:t>
      </w:r>
      <w:r>
        <w:rPr>
          <w:spacing w:val="20"/>
        </w:rPr>
        <w:t> </w:t>
      </w:r>
      <w:r>
        <w:rPr/>
        <w:t>civilian</w:t>
      </w:r>
      <w:r>
        <w:rPr>
          <w:spacing w:val="20"/>
        </w:rPr>
        <w:t> </w:t>
      </w:r>
      <w:r>
        <w:rPr/>
        <w:t>and</w:t>
      </w:r>
      <w:r>
        <w:rPr>
          <w:spacing w:val="20"/>
        </w:rPr>
        <w:t> </w:t>
      </w:r>
      <w:r>
        <w:rPr/>
        <w:t>military</w:t>
      </w:r>
      <w:r>
        <w:rPr>
          <w:spacing w:val="20"/>
        </w:rPr>
        <w:t> </w:t>
      </w:r>
      <w:r>
        <w:rPr/>
        <w:t>authorities.</w:t>
      </w:r>
    </w:p>
    <w:p>
      <w:pPr>
        <w:pStyle w:val="BodyText"/>
        <w:spacing w:line="261" w:lineRule="auto" w:before="117"/>
        <w:ind w:right="975" w:hanging="235"/>
      </w:pPr>
      <w:r>
        <w:rPr>
          <w:position w:val="3"/>
        </w:rPr>
        <w:drawing>
          <wp:inline distT="0" distB="0" distL="0" distR="0">
            <wp:extent cx="53354" cy="53354"/>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7" cstate="print"/>
                    <a:stretch>
                      <a:fillRect/>
                    </a:stretch>
                  </pic:blipFill>
                  <pic:spPr>
                    <a:xfrm>
                      <a:off x="0" y="0"/>
                      <a:ext cx="53354" cy="53354"/>
                    </a:xfrm>
                    <a:prstGeom prst="rect">
                      <a:avLst/>
                    </a:prstGeom>
                  </pic:spPr>
                </pic:pic>
              </a:graphicData>
            </a:graphic>
          </wp:inline>
        </w:drawing>
      </w:r>
      <w:r>
        <w:rPr>
          <w:position w:val="3"/>
        </w:rPr>
      </w:r>
      <w:r>
        <w:rPr>
          <w:rFonts w:ascii="Times New Roman"/>
          <w:spacing w:val="80"/>
        </w:rPr>
        <w:t> </w:t>
      </w:r>
      <w:r>
        <w:rPr/>
        <w:t>Crisis response coordination and effective decision-making: Improving the EU's ability to manage and respond to emergencies.</w:t>
      </w:r>
    </w:p>
    <w:p>
      <w:pPr>
        <w:pStyle w:val="BodyText"/>
        <w:spacing w:line="261" w:lineRule="auto" w:before="94"/>
        <w:ind w:right="571" w:hanging="235"/>
      </w:pPr>
      <w:r>
        <w:rPr>
          <w:position w:val="3"/>
        </w:rPr>
        <w:drawing>
          <wp:inline distT="0" distB="0" distL="0" distR="0">
            <wp:extent cx="53354" cy="53354"/>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8" cstate="print"/>
                    <a:stretch>
                      <a:fillRect/>
                    </a:stretch>
                  </pic:blipFill>
                  <pic:spPr>
                    <a:xfrm>
                      <a:off x="0" y="0"/>
                      <a:ext cx="53354" cy="53354"/>
                    </a:xfrm>
                    <a:prstGeom prst="rect">
                      <a:avLst/>
                    </a:prstGeom>
                  </pic:spPr>
                </pic:pic>
              </a:graphicData>
            </a:graphic>
          </wp:inline>
        </w:drawing>
      </w:r>
      <w:r>
        <w:rPr>
          <w:position w:val="3"/>
        </w:rPr>
      </w:r>
      <w:r>
        <w:rPr>
          <w:rFonts w:ascii="Times New Roman"/>
          <w:spacing w:val="80"/>
        </w:rPr>
        <w:t> </w:t>
      </w:r>
      <w:r>
        <w:rPr/>
        <w:t>Resilience through external partnerships: Collaborating with international partners to address cross-border threats.</w:t>
      </w:r>
    </w:p>
    <w:p>
      <w:pPr>
        <w:pStyle w:val="Heading1"/>
        <w:spacing w:before="142"/>
      </w:pPr>
      <w:r>
        <w:rPr/>
        <w:t>In</w:t>
      </w:r>
      <w:r>
        <w:rPr>
          <w:spacing w:val="8"/>
        </w:rPr>
        <w:t> </w:t>
      </w:r>
      <w:r>
        <w:rPr/>
        <w:t>which</w:t>
      </w:r>
      <w:r>
        <w:rPr>
          <w:spacing w:val="8"/>
        </w:rPr>
        <w:t> </w:t>
      </w:r>
      <w:r>
        <w:rPr/>
        <w:t>areas</w:t>
      </w:r>
      <w:r>
        <w:rPr>
          <w:spacing w:val="9"/>
        </w:rPr>
        <w:t> </w:t>
      </w:r>
      <w:r>
        <w:rPr/>
        <w:t>will</w:t>
      </w:r>
      <w:r>
        <w:rPr>
          <w:spacing w:val="8"/>
        </w:rPr>
        <w:t> </w:t>
      </w:r>
      <w:r>
        <w:rPr/>
        <w:t>the</w:t>
      </w:r>
      <w:r>
        <w:rPr>
          <w:spacing w:val="9"/>
        </w:rPr>
        <w:t> </w:t>
      </w:r>
      <w:r>
        <w:rPr/>
        <w:t>EU</w:t>
      </w:r>
      <w:r>
        <w:rPr>
          <w:spacing w:val="8"/>
        </w:rPr>
        <w:t> </w:t>
      </w:r>
      <w:r>
        <w:rPr/>
        <w:t>focus</w:t>
      </w:r>
      <w:r>
        <w:rPr>
          <w:spacing w:val="8"/>
        </w:rPr>
        <w:t> </w:t>
      </w:r>
      <w:r>
        <w:rPr/>
        <w:t>its</w:t>
      </w:r>
      <w:r>
        <w:rPr>
          <w:spacing w:val="9"/>
        </w:rPr>
        <w:t> </w:t>
      </w:r>
      <w:r>
        <w:rPr/>
        <w:t>efforts</w:t>
      </w:r>
      <w:r>
        <w:rPr>
          <w:spacing w:val="8"/>
        </w:rPr>
        <w:t> </w:t>
      </w:r>
      <w:r>
        <w:rPr/>
        <w:t>to</w:t>
      </w:r>
      <w:r>
        <w:rPr>
          <w:spacing w:val="9"/>
        </w:rPr>
        <w:t> </w:t>
      </w:r>
      <w:r>
        <w:rPr/>
        <w:t>enhance</w:t>
      </w:r>
      <w:r>
        <w:rPr>
          <w:spacing w:val="8"/>
        </w:rPr>
        <w:t> </w:t>
      </w:r>
      <w:r>
        <w:rPr/>
        <w:t>population</w:t>
      </w:r>
      <w:r>
        <w:rPr>
          <w:spacing w:val="9"/>
        </w:rPr>
        <w:t> </w:t>
      </w:r>
      <w:r>
        <w:rPr>
          <w:spacing w:val="-2"/>
        </w:rPr>
        <w:t>preparedness?</w:t>
      </w:r>
    </w:p>
    <w:p>
      <w:pPr>
        <w:pStyle w:val="BodyText"/>
        <w:spacing w:line="261" w:lineRule="auto"/>
        <w:ind w:left="100" w:right="347"/>
      </w:pPr>
      <w:r>
        <w:rPr/>
        <w:t>The EU will focus its efforts on enhancing population preparedness working with Member States, with</w:t>
      </w:r>
      <w:r>
        <w:rPr>
          <w:spacing w:val="80"/>
        </w:rPr>
        <w:t> </w:t>
      </w:r>
      <w:r>
        <w:rPr/>
        <w:t>a particular emphasis on fostering a culture of resilience at national and local level. This includes improving public awareness of risks through targeted information campaigns, educational programs, and accessible online resources.</w:t>
      </w:r>
    </w:p>
    <w:p>
      <w:pPr>
        <w:pStyle w:val="BodyText"/>
        <w:spacing w:line="261" w:lineRule="auto" w:before="141"/>
        <w:ind w:left="100" w:right="347"/>
      </w:pPr>
      <w:r>
        <w:rPr/>
        <mc:AlternateContent>
          <mc:Choice Requires="wps">
            <w:drawing>
              <wp:anchor distT="0" distB="0" distL="0" distR="0" allowOverlap="1" layoutInCell="1" locked="0" behindDoc="1" simplePos="0" relativeHeight="487513088">
                <wp:simplePos x="0" y="0"/>
                <wp:positionH relativeFrom="page">
                  <wp:posOffset>834521</wp:posOffset>
                </wp:positionH>
                <wp:positionV relativeFrom="paragraph">
                  <wp:posOffset>731874</wp:posOffset>
                </wp:positionV>
                <wp:extent cx="46355" cy="127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46355" cy="1270"/>
                        </a:xfrm>
                        <a:custGeom>
                          <a:avLst/>
                          <a:gdLst/>
                          <a:ahLst/>
                          <a:cxnLst/>
                          <a:rect l="l" t="t" r="r" b="b"/>
                          <a:pathLst>
                            <a:path w="46355" h="0">
                              <a:moveTo>
                                <a:pt x="0" y="0"/>
                              </a:moveTo>
                              <a:lnTo>
                                <a:pt x="45732" y="0"/>
                              </a:lnTo>
                            </a:path>
                          </a:pathLst>
                        </a:custGeom>
                        <a:ln w="762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03392" from="65.710381pt,57.627918pt" to="69.311385pt,57.627918pt" stroked="true" strokeweight=".600167pt" strokecolor="#000000">
                <v:stroke dashstyle="solid"/>
                <w10:wrap type="none"/>
              </v:line>
            </w:pict>
          </mc:Fallback>
        </mc:AlternateContent>
      </w:r>
      <w:r>
        <w:rPr/>
        <w:t>Efforts will also concentrate on empowering citizens to take proactive measures to prepare for crises, such as developing household emergency plans and stockpiling essential supplies. The EU will also support the development of effective public warning and crisis communication systems by Member States to reach all citizens, regardless of their location, language, or circumstances.</w:t>
      </w:r>
    </w:p>
    <w:p>
      <w:pPr>
        <w:pStyle w:val="Heading1"/>
        <w:spacing w:before="141"/>
      </w:pPr>
      <w:r>
        <w:rPr/>
        <w:t>Which</w:t>
      </w:r>
      <w:r>
        <w:rPr>
          <w:spacing w:val="8"/>
        </w:rPr>
        <w:t> </w:t>
      </w:r>
      <w:r>
        <w:rPr/>
        <w:t>areas</w:t>
      </w:r>
      <w:r>
        <w:rPr>
          <w:spacing w:val="8"/>
        </w:rPr>
        <w:t> </w:t>
      </w:r>
      <w:r>
        <w:rPr/>
        <w:t>will</w:t>
      </w:r>
      <w:r>
        <w:rPr>
          <w:spacing w:val="9"/>
        </w:rPr>
        <w:t> </w:t>
      </w:r>
      <w:r>
        <w:rPr/>
        <w:t>the</w:t>
      </w:r>
      <w:r>
        <w:rPr>
          <w:spacing w:val="8"/>
        </w:rPr>
        <w:t> </w:t>
      </w:r>
      <w:r>
        <w:rPr/>
        <w:t>EU</w:t>
      </w:r>
      <w:r>
        <w:rPr>
          <w:spacing w:val="8"/>
        </w:rPr>
        <w:t> </w:t>
      </w:r>
      <w:r>
        <w:rPr/>
        <w:t>prioritise</w:t>
      </w:r>
      <w:r>
        <w:rPr>
          <w:spacing w:val="9"/>
        </w:rPr>
        <w:t> </w:t>
      </w:r>
      <w:r>
        <w:rPr/>
        <w:t>in</w:t>
      </w:r>
      <w:r>
        <w:rPr>
          <w:spacing w:val="8"/>
        </w:rPr>
        <w:t> </w:t>
      </w:r>
      <w:r>
        <w:rPr/>
        <w:t>its</w:t>
      </w:r>
      <w:r>
        <w:rPr>
          <w:spacing w:val="9"/>
        </w:rPr>
        <w:t> </w:t>
      </w:r>
      <w:r>
        <w:rPr/>
        <w:t>stockpiling</w:t>
      </w:r>
      <w:r>
        <w:rPr>
          <w:spacing w:val="8"/>
        </w:rPr>
        <w:t> </w:t>
      </w:r>
      <w:r>
        <w:rPr>
          <w:spacing w:val="-2"/>
        </w:rPr>
        <w:t>strategy?</w:t>
      </w:r>
    </w:p>
    <w:p>
      <w:pPr>
        <w:pStyle w:val="BodyText"/>
        <w:spacing w:line="261" w:lineRule="auto"/>
        <w:ind w:left="100" w:right="347"/>
      </w:pPr>
      <w:r>
        <w:rPr/>
        <w:t>EU's stockpiling strategy will integrate all existing stockpiling actions focus on securing access to critical resources across the Union, working closer with Member States. This includes:</w:t>
      </w:r>
    </w:p>
    <w:p>
      <w:pPr>
        <w:pStyle w:val="BodyText"/>
        <w:spacing w:line="261" w:lineRule="auto" w:before="142"/>
        <w:ind w:right="975" w:hanging="235"/>
      </w:pPr>
      <w:r>
        <w:rPr>
          <w:position w:val="3"/>
        </w:rPr>
        <w:drawing>
          <wp:inline distT="0" distB="0" distL="0" distR="0">
            <wp:extent cx="53354" cy="53354"/>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8" cstate="print"/>
                    <a:stretch>
                      <a:fillRect/>
                    </a:stretch>
                  </pic:blipFill>
                  <pic:spPr>
                    <a:xfrm>
                      <a:off x="0" y="0"/>
                      <a:ext cx="53354" cy="53354"/>
                    </a:xfrm>
                    <a:prstGeom prst="rect">
                      <a:avLst/>
                    </a:prstGeom>
                  </pic:spPr>
                </pic:pic>
              </a:graphicData>
            </a:graphic>
          </wp:inline>
        </w:drawing>
      </w:r>
      <w:r>
        <w:rPr>
          <w:position w:val="3"/>
        </w:rPr>
      </w:r>
      <w:r>
        <w:rPr>
          <w:rFonts w:ascii="Times New Roman"/>
          <w:spacing w:val="80"/>
        </w:rPr>
        <w:t> </w:t>
      </w:r>
      <w:r>
        <w:rPr/>
        <w:t>Emergency and disaster response supplies: essential equipment, materials, and resources needed to respond to natural and human-made disasters.</w:t>
      </w:r>
    </w:p>
    <w:p>
      <w:pPr>
        <w:pStyle w:val="BodyText"/>
        <w:spacing w:line="261" w:lineRule="auto" w:before="94"/>
        <w:ind w:hanging="235"/>
      </w:pPr>
      <w:r>
        <w:rPr>
          <w:position w:val="3"/>
        </w:rPr>
        <w:drawing>
          <wp:inline distT="0" distB="0" distL="0" distR="0">
            <wp:extent cx="53354" cy="53354"/>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8" cstate="print"/>
                    <a:stretch>
                      <a:fillRect/>
                    </a:stretch>
                  </pic:blipFill>
                  <pic:spPr>
                    <a:xfrm>
                      <a:off x="0" y="0"/>
                      <a:ext cx="53354" cy="53354"/>
                    </a:xfrm>
                    <a:prstGeom prst="rect">
                      <a:avLst/>
                    </a:prstGeom>
                  </pic:spPr>
                </pic:pic>
              </a:graphicData>
            </a:graphic>
          </wp:inline>
        </w:drawing>
      </w:r>
      <w:r>
        <w:rPr>
          <w:position w:val="3"/>
        </w:rPr>
      </w:r>
      <w:r>
        <w:rPr>
          <w:rFonts w:ascii="Times New Roman"/>
          <w:spacing w:val="80"/>
        </w:rPr>
        <w:t> </w:t>
      </w:r>
      <w:r>
        <w:rPr/>
        <w:t>Medical countermeasures: vaccines, medicines, and medical equipment to address public health </w:t>
      </w:r>
      <w:r>
        <w:rPr>
          <w:spacing w:val="-2"/>
        </w:rPr>
        <w:t>emergencies.</w:t>
      </w:r>
    </w:p>
    <w:p>
      <w:pPr>
        <w:pStyle w:val="BodyText"/>
        <w:spacing w:line="355" w:lineRule="auto" w:before="94"/>
        <w:ind w:left="346" w:right="861"/>
      </w:pPr>
      <w:r>
        <w:rPr>
          <w:position w:val="3"/>
        </w:rPr>
        <w:drawing>
          <wp:inline distT="0" distB="0" distL="0" distR="0">
            <wp:extent cx="53354" cy="53354"/>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8" cstate="print"/>
                    <a:stretch>
                      <a:fillRect/>
                    </a:stretch>
                  </pic:blipFill>
                  <pic:spPr>
                    <a:xfrm>
                      <a:off x="0" y="0"/>
                      <a:ext cx="53354" cy="53354"/>
                    </a:xfrm>
                    <a:prstGeom prst="rect">
                      <a:avLst/>
                    </a:prstGeom>
                  </pic:spPr>
                </pic:pic>
              </a:graphicData>
            </a:graphic>
          </wp:inline>
        </w:drawing>
      </w:r>
      <w:r>
        <w:rPr>
          <w:position w:val="3"/>
        </w:rPr>
      </w:r>
      <w:r>
        <w:rPr>
          <w:rFonts w:ascii="Times New Roman"/>
          <w:spacing w:val="80"/>
          <w:w w:val="150"/>
        </w:rPr>
        <w:t> </w:t>
      </w:r>
      <w:r>
        <w:rPr/>
        <w:t>Critical raw materials: resources essential for industrial production and strategic autonomy.</w:t>
      </w:r>
      <w:r>
        <w:rPr>
          <w:spacing w:val="80"/>
        </w:rPr>
        <w:t> </w:t>
      </w:r>
      <w:r>
        <w:rPr>
          <w:position w:val="3"/>
        </w:rPr>
        <w:drawing>
          <wp:inline distT="0" distB="0" distL="0" distR="0">
            <wp:extent cx="53354" cy="53354"/>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8" cstate="print"/>
                    <a:stretch>
                      <a:fillRect/>
                    </a:stretch>
                  </pic:blipFill>
                  <pic:spPr>
                    <a:xfrm>
                      <a:off x="0" y="0"/>
                      <a:ext cx="53354" cy="53354"/>
                    </a:xfrm>
                    <a:prstGeom prst="rect">
                      <a:avLst/>
                    </a:prstGeom>
                  </pic:spPr>
                </pic:pic>
              </a:graphicData>
            </a:graphic>
          </wp:inline>
        </w:drawing>
      </w:r>
      <w:r>
        <w:rPr>
          <w:position w:val="3"/>
        </w:rPr>
      </w:r>
      <w:r>
        <w:rPr>
          <w:rFonts w:ascii="Times New Roman"/>
          <w:spacing w:val="80"/>
          <w:w w:val="150"/>
        </w:rPr>
        <w:t> </w:t>
      </w:r>
      <w:r>
        <w:rPr/>
        <w:t>Energy equipment: components and technologies needed to maintain energy security.</w:t>
      </w:r>
    </w:p>
    <w:p>
      <w:pPr>
        <w:pStyle w:val="BodyText"/>
        <w:spacing w:before="1"/>
        <w:ind w:left="346"/>
      </w:pPr>
      <w:r>
        <w:rPr>
          <w:position w:val="3"/>
        </w:rPr>
        <w:drawing>
          <wp:inline distT="0" distB="0" distL="0" distR="0">
            <wp:extent cx="53354" cy="53354"/>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8" cstate="print"/>
                    <a:stretch>
                      <a:fillRect/>
                    </a:stretch>
                  </pic:blipFill>
                  <pic:spPr>
                    <a:xfrm>
                      <a:off x="0" y="0"/>
                      <a:ext cx="53354" cy="53354"/>
                    </a:xfrm>
                    <a:prstGeom prst="rect">
                      <a:avLst/>
                    </a:prstGeom>
                  </pic:spPr>
                </pic:pic>
              </a:graphicData>
            </a:graphic>
          </wp:inline>
        </w:drawing>
      </w:r>
      <w:r>
        <w:rPr>
          <w:position w:val="3"/>
        </w:rPr>
      </w:r>
      <w:r>
        <w:rPr>
          <w:rFonts w:ascii="Times New Roman"/>
          <w:spacing w:val="39"/>
        </w:rPr>
        <w:t>  </w:t>
      </w:r>
      <w:r>
        <w:rPr/>
        <w:t>Potentially,</w:t>
      </w:r>
      <w:r>
        <w:rPr>
          <w:spacing w:val="14"/>
        </w:rPr>
        <w:t> </w:t>
      </w:r>
      <w:r>
        <w:rPr/>
        <w:t>agri-food</w:t>
      </w:r>
      <w:r>
        <w:rPr>
          <w:spacing w:val="14"/>
        </w:rPr>
        <w:t> </w:t>
      </w:r>
      <w:r>
        <w:rPr/>
        <w:t>products</w:t>
      </w:r>
      <w:r>
        <w:rPr>
          <w:spacing w:val="14"/>
        </w:rPr>
        <w:t> </w:t>
      </w:r>
      <w:r>
        <w:rPr/>
        <w:t>and</w:t>
      </w:r>
      <w:r>
        <w:rPr>
          <w:spacing w:val="14"/>
        </w:rPr>
        <w:t> </w:t>
      </w:r>
      <w:r>
        <w:rPr/>
        <w:t>water</w:t>
      </w:r>
      <w:r>
        <w:rPr>
          <w:spacing w:val="14"/>
        </w:rPr>
        <w:t> </w:t>
      </w:r>
      <w:r>
        <w:rPr/>
        <w:t>security:</w:t>
      </w:r>
      <w:r>
        <w:rPr>
          <w:spacing w:val="14"/>
        </w:rPr>
        <w:t> </w:t>
      </w:r>
      <w:r>
        <w:rPr/>
        <w:t>to</w:t>
      </w:r>
      <w:r>
        <w:rPr>
          <w:spacing w:val="14"/>
        </w:rPr>
        <w:t> </w:t>
      </w:r>
      <w:r>
        <w:rPr/>
        <w:t>insure</w:t>
      </w:r>
      <w:r>
        <w:rPr>
          <w:spacing w:val="14"/>
        </w:rPr>
        <w:t> </w:t>
      </w:r>
      <w:r>
        <w:rPr/>
        <w:t>against</w:t>
      </w:r>
      <w:r>
        <w:rPr>
          <w:spacing w:val="14"/>
        </w:rPr>
        <w:t> </w:t>
      </w:r>
      <w:r>
        <w:rPr/>
        <w:t>shortages</w:t>
      </w:r>
      <w:r>
        <w:rPr>
          <w:spacing w:val="14"/>
        </w:rPr>
        <w:t> </w:t>
      </w:r>
      <w:r>
        <w:rPr/>
        <w:t>in</w:t>
      </w:r>
      <w:r>
        <w:rPr>
          <w:spacing w:val="14"/>
        </w:rPr>
        <w:t> </w:t>
      </w:r>
      <w:r>
        <w:rPr/>
        <w:t>times</w:t>
      </w:r>
      <w:r>
        <w:rPr>
          <w:spacing w:val="14"/>
        </w:rPr>
        <w:t> </w:t>
      </w:r>
      <w:r>
        <w:rPr/>
        <w:t>of</w:t>
      </w:r>
      <w:r>
        <w:rPr>
          <w:spacing w:val="14"/>
        </w:rPr>
        <w:t> </w:t>
      </w:r>
      <w:r>
        <w:rPr/>
        <w:t>crisis.</w:t>
      </w:r>
    </w:p>
    <w:p>
      <w:pPr>
        <w:pStyle w:val="Heading1"/>
        <w:spacing w:line="261" w:lineRule="auto" w:before="165"/>
        <w:ind w:right="347"/>
      </w:pPr>
      <w:r>
        <w:rPr/>
        <w:t>Why is enhanced civil-military cooperation essential for the EU's Preparedness Union </w:t>
      </w:r>
      <w:r>
        <w:rPr>
          <w:spacing w:val="-2"/>
        </w:rPr>
        <w:t>strategy?</w:t>
      </w:r>
    </w:p>
    <w:p>
      <w:pPr>
        <w:pStyle w:val="BodyText"/>
        <w:spacing w:line="261" w:lineRule="auto" w:before="143"/>
        <w:ind w:left="100" w:right="571"/>
      </w:pPr>
      <w:r>
        <w:rPr/>
        <w:t>To effectively address modern, complex threats like hybrid warfare, cyberattacks, and potential armed aggression, the EU needs seamless cooperation between civilian and military authorities.</w:t>
      </w:r>
    </w:p>
    <w:p>
      <w:pPr>
        <w:pStyle w:val="BodyText"/>
        <w:spacing w:before="142"/>
        <w:ind w:left="100"/>
      </w:pPr>
      <w:r>
        <w:rPr/>
        <w:t>Key</w:t>
      </w:r>
      <w:r>
        <w:rPr>
          <w:spacing w:val="7"/>
        </w:rPr>
        <w:t> </w:t>
      </w:r>
      <w:r>
        <w:rPr/>
        <w:t>actions</w:t>
      </w:r>
      <w:r>
        <w:rPr>
          <w:spacing w:val="8"/>
        </w:rPr>
        <w:t> </w:t>
      </w:r>
      <w:r>
        <w:rPr>
          <w:spacing w:val="-2"/>
        </w:rPr>
        <w:t>include:</w:t>
      </w:r>
    </w:p>
    <w:p>
      <w:pPr>
        <w:pStyle w:val="BodyText"/>
        <w:spacing w:line="261" w:lineRule="auto"/>
        <w:ind w:hanging="235"/>
      </w:pPr>
      <w:r>
        <w:rPr>
          <w:position w:val="3"/>
        </w:rPr>
        <w:drawing>
          <wp:inline distT="0" distB="0" distL="0" distR="0">
            <wp:extent cx="53354" cy="53354"/>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8" cstate="print"/>
                    <a:stretch>
                      <a:fillRect/>
                    </a:stretch>
                  </pic:blipFill>
                  <pic:spPr>
                    <a:xfrm>
                      <a:off x="0" y="0"/>
                      <a:ext cx="53354" cy="53354"/>
                    </a:xfrm>
                    <a:prstGeom prst="rect">
                      <a:avLst/>
                    </a:prstGeom>
                  </pic:spPr>
                </pic:pic>
              </a:graphicData>
            </a:graphic>
          </wp:inline>
        </w:drawing>
      </w:r>
      <w:r>
        <w:rPr>
          <w:position w:val="3"/>
        </w:rPr>
      </w:r>
      <w:r>
        <w:rPr>
          <w:rFonts w:ascii="Times New Roman"/>
          <w:spacing w:val="80"/>
        </w:rPr>
        <w:t> </w:t>
      </w:r>
      <w:r>
        <w:rPr/>
        <w:t>Establishing a comprehensive civil-military preparedness framework with clear roles and </w:t>
      </w:r>
      <w:r>
        <w:rPr>
          <w:spacing w:val="-2"/>
        </w:rPr>
        <w:t>responsibilities.</w:t>
      </w:r>
    </w:p>
    <w:p>
      <w:pPr>
        <w:pStyle w:val="BodyText"/>
        <w:spacing w:line="261" w:lineRule="auto" w:before="94"/>
        <w:ind w:right="975" w:hanging="235"/>
      </w:pPr>
      <w:r>
        <w:rPr>
          <w:position w:val="3"/>
        </w:rPr>
        <w:drawing>
          <wp:inline distT="0" distB="0" distL="0" distR="0">
            <wp:extent cx="53354" cy="53354"/>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7" cstate="print"/>
                    <a:stretch>
                      <a:fillRect/>
                    </a:stretch>
                  </pic:blipFill>
                  <pic:spPr>
                    <a:xfrm>
                      <a:off x="0" y="0"/>
                      <a:ext cx="53354" cy="53354"/>
                    </a:xfrm>
                    <a:prstGeom prst="rect">
                      <a:avLst/>
                    </a:prstGeom>
                  </pic:spPr>
                </pic:pic>
              </a:graphicData>
            </a:graphic>
          </wp:inline>
        </w:drawing>
      </w:r>
      <w:r>
        <w:rPr>
          <w:position w:val="3"/>
        </w:rPr>
      </w:r>
      <w:r>
        <w:rPr>
          <w:rFonts w:ascii="Times New Roman"/>
          <w:spacing w:val="80"/>
        </w:rPr>
        <w:t> </w:t>
      </w:r>
      <w:r>
        <w:rPr/>
        <w:t>Facilitating dual-use planning and investment across member states, identifying key infrastructure and equipment.</w:t>
      </w:r>
    </w:p>
    <w:p>
      <w:pPr>
        <w:pStyle w:val="BodyText"/>
        <w:spacing w:line="261" w:lineRule="auto" w:before="94"/>
        <w:ind w:hanging="235"/>
        <w:rPr>
          <w:b/>
        </w:rPr>
      </w:pPr>
      <w:r>
        <w:rPr>
          <w:position w:val="3"/>
        </w:rPr>
        <w:drawing>
          <wp:inline distT="0" distB="0" distL="0" distR="0">
            <wp:extent cx="53354" cy="53354"/>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8" cstate="print"/>
                    <a:stretch>
                      <a:fillRect/>
                    </a:stretch>
                  </pic:blipFill>
                  <pic:spPr>
                    <a:xfrm>
                      <a:off x="0" y="0"/>
                      <a:ext cx="53354" cy="53354"/>
                    </a:xfrm>
                    <a:prstGeom prst="rect">
                      <a:avLst/>
                    </a:prstGeom>
                  </pic:spPr>
                </pic:pic>
              </a:graphicData>
            </a:graphic>
          </wp:inline>
        </w:drawing>
      </w:r>
      <w:r>
        <w:rPr>
          <w:position w:val="3"/>
        </w:rPr>
      </w:r>
      <w:r>
        <w:rPr>
          <w:rFonts w:ascii="Times New Roman"/>
          <w:spacing w:val="80"/>
        </w:rPr>
        <w:t> </w:t>
      </w:r>
      <w:r>
        <w:rPr/>
        <w:t>Conducting regular EU-wide comprehensive preparedness exercises to test decision-making and </w:t>
      </w:r>
      <w:r>
        <w:rPr>
          <w:spacing w:val="-2"/>
        </w:rPr>
        <w:t>coordination</w:t>
      </w:r>
      <w:r>
        <w:rPr>
          <w:b/>
          <w:spacing w:val="-2"/>
        </w:rPr>
        <w:t>.</w:t>
      </w:r>
    </w:p>
    <w:p>
      <w:pPr>
        <w:pStyle w:val="BodyText"/>
        <w:spacing w:line="261" w:lineRule="auto" w:before="95"/>
        <w:ind w:hanging="235"/>
      </w:pPr>
      <w:r>
        <w:rPr>
          <w:position w:val="3"/>
        </w:rPr>
        <w:drawing>
          <wp:inline distT="0" distB="0" distL="0" distR="0">
            <wp:extent cx="53354" cy="53354"/>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8" cstate="print"/>
                    <a:stretch>
                      <a:fillRect/>
                    </a:stretch>
                  </pic:blipFill>
                  <pic:spPr>
                    <a:xfrm>
                      <a:off x="0" y="0"/>
                      <a:ext cx="53354" cy="53354"/>
                    </a:xfrm>
                    <a:prstGeom prst="rect">
                      <a:avLst/>
                    </a:prstGeom>
                  </pic:spPr>
                </pic:pic>
              </a:graphicData>
            </a:graphic>
          </wp:inline>
        </w:drawing>
      </w:r>
      <w:r>
        <w:rPr>
          <w:position w:val="3"/>
        </w:rPr>
      </w:r>
      <w:r>
        <w:rPr>
          <w:rFonts w:ascii="Times New Roman"/>
          <w:spacing w:val="80"/>
        </w:rPr>
        <w:t> </w:t>
      </w:r>
      <w:r>
        <w:rPr/>
        <w:t>Enhancing cooperation with strategic partners, such as NATO, in countering this broad range of </w:t>
      </w:r>
      <w:r>
        <w:rPr>
          <w:spacing w:val="-2"/>
        </w:rPr>
        <w:t>threats.</w:t>
      </w:r>
    </w:p>
    <w:p>
      <w:pPr>
        <w:pStyle w:val="Heading1"/>
        <w:spacing w:before="142"/>
      </w:pPr>
      <w:r>
        <w:rPr/>
        <w:t>How</w:t>
      </w:r>
      <w:r>
        <w:rPr>
          <w:spacing w:val="11"/>
        </w:rPr>
        <w:t> </w:t>
      </w:r>
      <w:r>
        <w:rPr/>
        <w:t>does</w:t>
      </w:r>
      <w:r>
        <w:rPr>
          <w:spacing w:val="11"/>
        </w:rPr>
        <w:t> </w:t>
      </w:r>
      <w:r>
        <w:rPr/>
        <w:t>the</w:t>
      </w:r>
      <w:r>
        <w:rPr>
          <w:spacing w:val="12"/>
        </w:rPr>
        <w:t> </w:t>
      </w:r>
      <w:r>
        <w:rPr/>
        <w:t>Preparedness</w:t>
      </w:r>
      <w:r>
        <w:rPr>
          <w:spacing w:val="11"/>
        </w:rPr>
        <w:t> </w:t>
      </w:r>
      <w:r>
        <w:rPr/>
        <w:t>Union</w:t>
      </w:r>
      <w:r>
        <w:rPr>
          <w:spacing w:val="11"/>
        </w:rPr>
        <w:t> </w:t>
      </w:r>
      <w:r>
        <w:rPr/>
        <w:t>Strategy</w:t>
      </w:r>
      <w:r>
        <w:rPr>
          <w:spacing w:val="11"/>
        </w:rPr>
        <w:t> </w:t>
      </w:r>
      <w:r>
        <w:rPr/>
        <w:t>address</w:t>
      </w:r>
      <w:r>
        <w:rPr>
          <w:spacing w:val="12"/>
        </w:rPr>
        <w:t> </w:t>
      </w:r>
      <w:r>
        <w:rPr/>
        <w:t>the</w:t>
      </w:r>
      <w:r>
        <w:rPr>
          <w:spacing w:val="11"/>
        </w:rPr>
        <w:t> </w:t>
      </w:r>
      <w:r>
        <w:rPr/>
        <w:t>challenge</w:t>
      </w:r>
      <w:r>
        <w:rPr>
          <w:spacing w:val="11"/>
        </w:rPr>
        <w:t> </w:t>
      </w:r>
      <w:r>
        <w:rPr/>
        <w:t>of</w:t>
      </w:r>
      <w:r>
        <w:rPr>
          <w:spacing w:val="12"/>
        </w:rPr>
        <w:t> </w:t>
      </w:r>
      <w:r>
        <w:rPr/>
        <w:t>cross-border</w:t>
      </w:r>
      <w:r>
        <w:rPr>
          <w:spacing w:val="11"/>
        </w:rPr>
        <w:t> </w:t>
      </w:r>
      <w:r>
        <w:rPr>
          <w:spacing w:val="-2"/>
        </w:rPr>
        <w:t>crises?</w:t>
      </w:r>
    </w:p>
    <w:p>
      <w:pPr>
        <w:pStyle w:val="BodyText"/>
        <w:spacing w:line="261" w:lineRule="auto"/>
        <w:ind w:left="100" w:right="264"/>
      </w:pPr>
      <w:r>
        <w:rPr/>
        <w:t>The strategy acknowledges that many modern crises, such as pandemics, cyberattacks, hybrid actions and climate-related disasters, by their very nature - transcend national borders. It develops a framework for coordinated EU risk and threat assessments by:</w:t>
      </w:r>
    </w:p>
    <w:p>
      <w:pPr>
        <w:pStyle w:val="BodyText"/>
        <w:spacing w:before="142"/>
        <w:ind w:left="346"/>
      </w:pPr>
      <w:r>
        <w:rPr>
          <w:position w:val="3"/>
        </w:rPr>
        <w:drawing>
          <wp:inline distT="0" distB="0" distL="0" distR="0">
            <wp:extent cx="53354" cy="53354"/>
            <wp:effectExtent l="0" t="0" r="0" b="0"/>
            <wp:docPr id="24" name="Image 24"/>
            <wp:cNvGraphicFramePr>
              <a:graphicFrameLocks/>
            </wp:cNvGraphicFramePr>
            <a:graphic>
              <a:graphicData uri="http://schemas.openxmlformats.org/drawingml/2006/picture">
                <pic:pic>
                  <pic:nvPicPr>
                    <pic:cNvPr id="24" name="Image 24"/>
                    <pic:cNvPicPr/>
                  </pic:nvPicPr>
                  <pic:blipFill>
                    <a:blip r:embed="rId8" cstate="print"/>
                    <a:stretch>
                      <a:fillRect/>
                    </a:stretch>
                  </pic:blipFill>
                  <pic:spPr>
                    <a:xfrm>
                      <a:off x="0" y="0"/>
                      <a:ext cx="53354" cy="53354"/>
                    </a:xfrm>
                    <a:prstGeom prst="rect">
                      <a:avLst/>
                    </a:prstGeom>
                  </pic:spPr>
                </pic:pic>
              </a:graphicData>
            </a:graphic>
          </wp:inline>
        </w:drawing>
      </w:r>
      <w:r>
        <w:rPr>
          <w:position w:val="3"/>
        </w:rPr>
      </w:r>
      <w:r>
        <w:rPr>
          <w:rFonts w:ascii="Times New Roman"/>
          <w:spacing w:val="40"/>
        </w:rPr>
        <w:t>  </w:t>
      </w:r>
      <w:r>
        <w:rPr/>
        <w:t>Strengthening</w:t>
      </w:r>
      <w:r>
        <w:rPr>
          <w:spacing w:val="21"/>
        </w:rPr>
        <w:t> </w:t>
      </w:r>
      <w:r>
        <w:rPr/>
        <w:t>EU-level</w:t>
      </w:r>
      <w:r>
        <w:rPr>
          <w:spacing w:val="21"/>
        </w:rPr>
        <w:t> </w:t>
      </w:r>
      <w:r>
        <w:rPr/>
        <w:t>early-warning</w:t>
      </w:r>
      <w:r>
        <w:rPr>
          <w:spacing w:val="21"/>
        </w:rPr>
        <w:t> </w:t>
      </w:r>
      <w:r>
        <w:rPr/>
        <w:t>systems</w:t>
      </w:r>
      <w:r>
        <w:rPr>
          <w:spacing w:val="21"/>
        </w:rPr>
        <w:t> </w:t>
      </w:r>
      <w:r>
        <w:rPr/>
        <w:t>and</w:t>
      </w:r>
      <w:r>
        <w:rPr>
          <w:spacing w:val="21"/>
        </w:rPr>
        <w:t> </w:t>
      </w:r>
      <w:r>
        <w:rPr/>
        <w:t>information</w:t>
      </w:r>
      <w:r>
        <w:rPr>
          <w:spacing w:val="21"/>
        </w:rPr>
        <w:t> </w:t>
      </w:r>
      <w:r>
        <w:rPr/>
        <w:t>sharing</w:t>
      </w:r>
      <w:r>
        <w:rPr>
          <w:spacing w:val="21"/>
        </w:rPr>
        <w:t> </w:t>
      </w:r>
      <w:r>
        <w:rPr/>
        <w:t>mechanisms.</w:t>
      </w:r>
    </w:p>
    <w:p>
      <w:pPr>
        <w:pStyle w:val="BodyText"/>
        <w:spacing w:line="261" w:lineRule="auto" w:before="117"/>
        <w:ind w:right="975" w:hanging="235"/>
      </w:pPr>
      <w:r>
        <w:rPr>
          <w:position w:val="3"/>
        </w:rPr>
        <w:drawing>
          <wp:inline distT="0" distB="0" distL="0" distR="0">
            <wp:extent cx="53354" cy="53354"/>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8" cstate="print"/>
                    <a:stretch>
                      <a:fillRect/>
                    </a:stretch>
                  </pic:blipFill>
                  <pic:spPr>
                    <a:xfrm>
                      <a:off x="0" y="0"/>
                      <a:ext cx="53354" cy="53354"/>
                    </a:xfrm>
                    <a:prstGeom prst="rect">
                      <a:avLst/>
                    </a:prstGeom>
                  </pic:spPr>
                </pic:pic>
              </a:graphicData>
            </a:graphic>
          </wp:inline>
        </w:drawing>
      </w:r>
      <w:r>
        <w:rPr>
          <w:position w:val="3"/>
        </w:rPr>
      </w:r>
      <w:r>
        <w:rPr>
          <w:rFonts w:ascii="Times New Roman"/>
          <w:spacing w:val="80"/>
        </w:rPr>
        <w:t> </w:t>
      </w:r>
      <w:r>
        <w:rPr/>
        <w:t>Enhancing the capabilities of the Union Civil Protection Mechanism (UCPM) and rescEU to facilitate rapid assistance across borders.</w:t>
      </w:r>
    </w:p>
    <w:p>
      <w:pPr>
        <w:pStyle w:val="BodyText"/>
        <w:spacing w:line="261" w:lineRule="auto" w:before="94"/>
        <w:ind w:right="347" w:hanging="235"/>
      </w:pPr>
      <w:r>
        <w:rPr>
          <w:position w:val="3"/>
        </w:rPr>
        <w:drawing>
          <wp:inline distT="0" distB="0" distL="0" distR="0">
            <wp:extent cx="53354" cy="53354"/>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8" cstate="print"/>
                    <a:stretch>
                      <a:fillRect/>
                    </a:stretch>
                  </pic:blipFill>
                  <pic:spPr>
                    <a:xfrm>
                      <a:off x="0" y="0"/>
                      <a:ext cx="53354" cy="53354"/>
                    </a:xfrm>
                    <a:prstGeom prst="rect">
                      <a:avLst/>
                    </a:prstGeom>
                  </pic:spPr>
                </pic:pic>
              </a:graphicData>
            </a:graphic>
          </wp:inline>
        </w:drawing>
      </w:r>
      <w:r>
        <w:rPr>
          <w:position w:val="3"/>
        </w:rPr>
      </w:r>
      <w:r>
        <w:rPr>
          <w:rFonts w:ascii="Times New Roman"/>
          <w:spacing w:val="80"/>
        </w:rPr>
        <w:t> </w:t>
      </w:r>
      <w:r>
        <w:rPr/>
        <w:t>Promoting cross-border public-private partnerships to ensure the resilience of critical infrastructure and supply chains.</w:t>
      </w:r>
    </w:p>
    <w:p>
      <w:pPr>
        <w:pStyle w:val="BodyText"/>
        <w:spacing w:after="0" w:line="261" w:lineRule="auto"/>
        <w:sectPr>
          <w:pgSz w:w="11900" w:h="16840"/>
          <w:pgMar w:top="500" w:bottom="280" w:left="566" w:right="566"/>
        </w:sectPr>
      </w:pPr>
    </w:p>
    <w:p>
      <w:pPr>
        <w:pStyle w:val="BodyText"/>
        <w:spacing w:before="85"/>
        <w:ind w:left="346"/>
      </w:pPr>
      <w:r>
        <w:rPr>
          <w:position w:val="3"/>
        </w:rPr>
        <w:drawing>
          <wp:inline distT="0" distB="0" distL="0" distR="0">
            <wp:extent cx="53354" cy="53354"/>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8" cstate="print"/>
                    <a:stretch>
                      <a:fillRect/>
                    </a:stretch>
                  </pic:blipFill>
                  <pic:spPr>
                    <a:xfrm>
                      <a:off x="0" y="0"/>
                      <a:ext cx="53354" cy="53354"/>
                    </a:xfrm>
                    <a:prstGeom prst="rect">
                      <a:avLst/>
                    </a:prstGeom>
                  </pic:spPr>
                </pic:pic>
              </a:graphicData>
            </a:graphic>
          </wp:inline>
        </w:drawing>
      </w:r>
      <w:r>
        <w:rPr>
          <w:position w:val="3"/>
        </w:rPr>
      </w:r>
      <w:r>
        <w:rPr>
          <w:rFonts w:ascii="Times New Roman"/>
          <w:spacing w:val="80"/>
          <w:w w:val="150"/>
        </w:rPr>
        <w:t> </w:t>
      </w:r>
      <w:r>
        <w:rPr/>
        <w:t>Fostering</w:t>
      </w:r>
      <w:r>
        <w:rPr>
          <w:spacing w:val="21"/>
        </w:rPr>
        <w:t> </w:t>
      </w:r>
      <w:r>
        <w:rPr/>
        <w:t>external</w:t>
      </w:r>
      <w:r>
        <w:rPr>
          <w:spacing w:val="21"/>
        </w:rPr>
        <w:t> </w:t>
      </w:r>
      <w:r>
        <w:rPr/>
        <w:t>partnerships</w:t>
      </w:r>
      <w:r>
        <w:rPr>
          <w:spacing w:val="21"/>
        </w:rPr>
        <w:t> </w:t>
      </w:r>
      <w:r>
        <w:rPr/>
        <w:t>to</w:t>
      </w:r>
      <w:r>
        <w:rPr>
          <w:spacing w:val="21"/>
        </w:rPr>
        <w:t> </w:t>
      </w:r>
      <w:r>
        <w:rPr/>
        <w:t>address</w:t>
      </w:r>
      <w:r>
        <w:rPr>
          <w:spacing w:val="21"/>
        </w:rPr>
        <w:t> </w:t>
      </w:r>
      <w:r>
        <w:rPr/>
        <w:t>common</w:t>
      </w:r>
      <w:r>
        <w:rPr>
          <w:spacing w:val="21"/>
        </w:rPr>
        <w:t> </w:t>
      </w:r>
      <w:r>
        <w:rPr/>
        <w:t>threats.</w:t>
      </w:r>
    </w:p>
    <w:p>
      <w:pPr>
        <w:pStyle w:val="Heading1"/>
        <w:spacing w:line="261" w:lineRule="auto" w:before="165"/>
        <w:ind w:right="975"/>
      </w:pPr>
      <w:r>
        <w:rPr/>
        <w:t>When will new EU proposals and reviews of legislation be subject to security, preparedness, and resilience checks?</w:t>
      </w:r>
    </w:p>
    <w:p>
      <w:pPr>
        <w:pStyle w:val="BodyText"/>
        <w:spacing w:line="261" w:lineRule="auto" w:before="142"/>
        <w:ind w:left="100" w:right="264"/>
      </w:pPr>
      <w:r>
        <w:rPr/>
        <w:t>Preparedness and security considerations will be integrated and mainstreamed across EU legislation, policies and programmes. New policies, legislation and programmes will be prepared or reviewed with</w:t>
      </w:r>
      <w:r>
        <w:rPr>
          <w:spacing w:val="80"/>
        </w:rPr>
        <w:t> </w:t>
      </w:r>
      <w:r>
        <w:rPr/>
        <w:t>a preparedness and security perspective in mind, consistently identifying potential impacts of the preferred</w:t>
      </w:r>
      <w:r>
        <w:rPr>
          <w:spacing w:val="21"/>
        </w:rPr>
        <w:t> </w:t>
      </w:r>
      <w:r>
        <w:rPr/>
        <w:t>policy</w:t>
      </w:r>
      <w:r>
        <w:rPr>
          <w:spacing w:val="21"/>
        </w:rPr>
        <w:t> </w:t>
      </w:r>
      <w:r>
        <w:rPr/>
        <w:t>option</w:t>
      </w:r>
      <w:r>
        <w:rPr>
          <w:spacing w:val="21"/>
        </w:rPr>
        <w:t> </w:t>
      </w:r>
      <w:r>
        <w:rPr/>
        <w:t>on</w:t>
      </w:r>
      <w:r>
        <w:rPr>
          <w:spacing w:val="21"/>
        </w:rPr>
        <w:t> </w:t>
      </w:r>
      <w:r>
        <w:rPr/>
        <w:t>preparedness</w:t>
      </w:r>
      <w:r>
        <w:rPr>
          <w:spacing w:val="21"/>
        </w:rPr>
        <w:t> </w:t>
      </w:r>
      <w:r>
        <w:rPr/>
        <w:t>and</w:t>
      </w:r>
      <w:r>
        <w:rPr>
          <w:spacing w:val="21"/>
        </w:rPr>
        <w:t> </w:t>
      </w:r>
      <w:r>
        <w:rPr/>
        <w:t>security.</w:t>
      </w:r>
      <w:r>
        <w:rPr>
          <w:spacing w:val="21"/>
        </w:rPr>
        <w:t> </w:t>
      </w:r>
      <w:r>
        <w:rPr/>
        <w:t>This</w:t>
      </w:r>
      <w:r>
        <w:rPr>
          <w:spacing w:val="21"/>
        </w:rPr>
        <w:t> </w:t>
      </w:r>
      <w:r>
        <w:rPr/>
        <w:t>will</w:t>
      </w:r>
      <w:r>
        <w:rPr>
          <w:spacing w:val="21"/>
        </w:rPr>
        <w:t> </w:t>
      </w:r>
      <w:r>
        <w:rPr/>
        <w:t>be</w:t>
      </w:r>
      <w:r>
        <w:rPr>
          <w:spacing w:val="21"/>
        </w:rPr>
        <w:t> </w:t>
      </w:r>
      <w:r>
        <w:rPr/>
        <w:t>underpinned</w:t>
      </w:r>
      <w:r>
        <w:rPr>
          <w:spacing w:val="21"/>
        </w:rPr>
        <w:t> </w:t>
      </w:r>
      <w:r>
        <w:rPr/>
        <w:t>with</w:t>
      </w:r>
      <w:r>
        <w:rPr>
          <w:spacing w:val="21"/>
        </w:rPr>
        <w:t> </w:t>
      </w:r>
      <w:r>
        <w:rPr/>
        <w:t>regular</w:t>
      </w:r>
      <w:r>
        <w:rPr>
          <w:spacing w:val="21"/>
        </w:rPr>
        <w:t> </w:t>
      </w:r>
      <w:r>
        <w:rPr/>
        <w:t>training for policy makers in the Commission.</w:t>
      </w:r>
    </w:p>
    <w:p>
      <w:pPr>
        <w:pStyle w:val="Heading1"/>
      </w:pPr>
      <w:r>
        <w:rPr/>
        <w:t>Why</w:t>
      </w:r>
      <w:r>
        <w:rPr>
          <w:spacing w:val="9"/>
        </w:rPr>
        <w:t> </w:t>
      </w:r>
      <w:r>
        <w:rPr/>
        <w:t>is</w:t>
      </w:r>
      <w:r>
        <w:rPr>
          <w:spacing w:val="10"/>
        </w:rPr>
        <w:t> </w:t>
      </w:r>
      <w:r>
        <w:rPr/>
        <w:t>a</w:t>
      </w:r>
      <w:r>
        <w:rPr>
          <w:spacing w:val="10"/>
        </w:rPr>
        <w:t> </w:t>
      </w:r>
      <w:r>
        <w:rPr/>
        <w:t>comprehensive</w:t>
      </w:r>
      <w:r>
        <w:rPr>
          <w:spacing w:val="9"/>
        </w:rPr>
        <w:t> </w:t>
      </w:r>
      <w:r>
        <w:rPr/>
        <w:t>EU</w:t>
      </w:r>
      <w:r>
        <w:rPr>
          <w:spacing w:val="10"/>
        </w:rPr>
        <w:t> </w:t>
      </w:r>
      <w:r>
        <w:rPr/>
        <w:t>risk</w:t>
      </w:r>
      <w:r>
        <w:rPr>
          <w:spacing w:val="10"/>
        </w:rPr>
        <w:t> </w:t>
      </w:r>
      <w:r>
        <w:rPr/>
        <w:t>and</w:t>
      </w:r>
      <w:r>
        <w:rPr>
          <w:spacing w:val="9"/>
        </w:rPr>
        <w:t> </w:t>
      </w:r>
      <w:r>
        <w:rPr/>
        <w:t>threat</w:t>
      </w:r>
      <w:r>
        <w:rPr>
          <w:spacing w:val="10"/>
        </w:rPr>
        <w:t> </w:t>
      </w:r>
      <w:r>
        <w:rPr/>
        <w:t>assessment</w:t>
      </w:r>
      <w:r>
        <w:rPr>
          <w:spacing w:val="10"/>
        </w:rPr>
        <w:t> </w:t>
      </w:r>
      <w:r>
        <w:rPr>
          <w:spacing w:val="-2"/>
        </w:rPr>
        <w:t>needed?</w:t>
      </w:r>
    </w:p>
    <w:p>
      <w:pPr>
        <w:pStyle w:val="BodyText"/>
        <w:spacing w:line="261" w:lineRule="auto"/>
        <w:ind w:left="100" w:right="347"/>
      </w:pPr>
      <w:r>
        <w:rPr/>
        <w:t>To be well-prepared, we need to know what to prepare for. As the risk landscape grows more</w:t>
      </w:r>
      <w:r>
        <w:rPr>
          <w:spacing w:val="40"/>
        </w:rPr>
        <w:t> </w:t>
      </w:r>
      <w:r>
        <w:rPr/>
        <w:t>complex,</w:t>
      </w:r>
      <w:r>
        <w:rPr>
          <w:spacing w:val="20"/>
        </w:rPr>
        <w:t> </w:t>
      </w:r>
      <w:r>
        <w:rPr/>
        <w:t>we</w:t>
      </w:r>
      <w:r>
        <w:rPr>
          <w:spacing w:val="20"/>
        </w:rPr>
        <w:t> </w:t>
      </w:r>
      <w:r>
        <w:rPr/>
        <w:t>need</w:t>
      </w:r>
      <w:r>
        <w:rPr>
          <w:spacing w:val="20"/>
        </w:rPr>
        <w:t> </w:t>
      </w:r>
      <w:r>
        <w:rPr/>
        <w:t>stronger</w:t>
      </w:r>
      <w:r>
        <w:rPr>
          <w:spacing w:val="20"/>
        </w:rPr>
        <w:t> </w:t>
      </w:r>
      <w:r>
        <w:rPr/>
        <w:t>risk</w:t>
      </w:r>
      <w:r>
        <w:rPr>
          <w:spacing w:val="20"/>
        </w:rPr>
        <w:t> </w:t>
      </w:r>
      <w:r>
        <w:rPr/>
        <w:t>insight</w:t>
      </w:r>
      <w:r>
        <w:rPr>
          <w:spacing w:val="20"/>
        </w:rPr>
        <w:t> </w:t>
      </w:r>
      <w:r>
        <w:rPr/>
        <w:t>and</w:t>
      </w:r>
      <w:r>
        <w:rPr>
          <w:spacing w:val="20"/>
        </w:rPr>
        <w:t> </w:t>
      </w:r>
      <w:r>
        <w:rPr/>
        <w:t>assessment</w:t>
      </w:r>
      <w:r>
        <w:rPr>
          <w:spacing w:val="20"/>
        </w:rPr>
        <w:t> </w:t>
      </w:r>
      <w:r>
        <w:rPr/>
        <w:t>tools.</w:t>
      </w:r>
      <w:r>
        <w:rPr>
          <w:spacing w:val="20"/>
        </w:rPr>
        <w:t> </w:t>
      </w:r>
      <w:r>
        <w:rPr/>
        <w:t>While</w:t>
      </w:r>
      <w:r>
        <w:rPr>
          <w:spacing w:val="20"/>
        </w:rPr>
        <w:t> </w:t>
      </w:r>
      <w:r>
        <w:rPr/>
        <w:t>efforts</w:t>
      </w:r>
      <w:r>
        <w:rPr>
          <w:spacing w:val="20"/>
        </w:rPr>
        <w:t> </w:t>
      </w:r>
      <w:r>
        <w:rPr/>
        <w:t>to</w:t>
      </w:r>
      <w:r>
        <w:rPr>
          <w:spacing w:val="20"/>
        </w:rPr>
        <w:t> </w:t>
      </w:r>
      <w:r>
        <w:rPr/>
        <w:t>detect</w:t>
      </w:r>
      <w:r>
        <w:rPr>
          <w:spacing w:val="20"/>
        </w:rPr>
        <w:t> </w:t>
      </w:r>
      <w:r>
        <w:rPr/>
        <w:t>and</w:t>
      </w:r>
      <w:r>
        <w:rPr>
          <w:spacing w:val="20"/>
        </w:rPr>
        <w:t> </w:t>
      </w:r>
      <w:r>
        <w:rPr/>
        <w:t>analyse risks and threats have expanded across the EU, they have predominantly been approached from sectoral or national angles. This limits our ability to see the full picture, understand interconnections, anticipate cascading effects or cross-border implications. Scientific knowledge also remains</w:t>
      </w:r>
      <w:r>
        <w:rPr>
          <w:spacing w:val="80"/>
        </w:rPr>
        <w:t> </w:t>
      </w:r>
      <w:r>
        <w:rPr/>
        <w:t>underused. The new EU risk and threat assessment will aim to close these gaps by offering a cross- sectoral, cross-hazard perspective — providing a more comprehensive understanding of risks and threats across Europe.</w:t>
      </w:r>
    </w:p>
    <w:p>
      <w:pPr>
        <w:pStyle w:val="BodyText"/>
        <w:spacing w:line="261" w:lineRule="auto" w:before="137"/>
        <w:ind w:left="100" w:right="347"/>
      </w:pPr>
      <w:r>
        <w:rPr/>
        <w:t>According to the Strategy, the Commission and the High Representative, with support from relevant EU agencies, will finali</w:t>
      </w:r>
      <w:r>
        <w:rPr>
          <w:u w:val="single"/>
        </w:rPr>
        <w:t>s</w:t>
      </w:r>
      <w:r>
        <w:rPr/>
        <w:t>e the first comprehensive EU risk and threat assessment by the end of 2026. This assessment will be based on a newly developed framework for coordinated risk and threat evaluations across various policy areas.</w:t>
      </w:r>
    </w:p>
    <w:p>
      <w:pPr>
        <w:spacing w:before="143"/>
        <w:ind w:left="0" w:right="106" w:firstLine="0"/>
        <w:jc w:val="right"/>
        <w:rPr>
          <w:sz w:val="15"/>
        </w:rPr>
      </w:pPr>
      <w:r>
        <w:rPr>
          <w:spacing w:val="-2"/>
          <w:w w:val="105"/>
          <w:sz w:val="15"/>
        </w:rPr>
        <w:t>QANDA/25/857</w:t>
      </w:r>
    </w:p>
    <w:p>
      <w:pPr>
        <w:pStyle w:val="BodyText"/>
        <w:spacing w:before="2"/>
        <w:ind w:left="0"/>
        <w:rPr>
          <w:sz w:val="14"/>
        </w:rPr>
      </w:pPr>
      <w:r>
        <w:rPr>
          <w:sz w:val="14"/>
        </w:rPr>
        <mc:AlternateContent>
          <mc:Choice Requires="wps">
            <w:drawing>
              <wp:anchor distT="0" distB="0" distL="0" distR="0" allowOverlap="1" layoutInCell="1" locked="0" behindDoc="1" simplePos="0" relativeHeight="487589376">
                <wp:simplePos x="0" y="0"/>
                <wp:positionH relativeFrom="page">
                  <wp:posOffset>426738</wp:posOffset>
                </wp:positionH>
                <wp:positionV relativeFrom="paragraph">
                  <wp:posOffset>128363</wp:posOffset>
                </wp:positionV>
                <wp:extent cx="6699884" cy="854075"/>
                <wp:effectExtent l="0" t="0" r="0" b="0"/>
                <wp:wrapTopAndBottom/>
                <wp:docPr id="28" name="Textbox 28"/>
                <wp:cNvGraphicFramePr>
                  <a:graphicFrameLocks/>
                </wp:cNvGraphicFramePr>
                <a:graphic>
                  <a:graphicData uri="http://schemas.microsoft.com/office/word/2010/wordprocessingShape">
                    <wps:wsp>
                      <wps:cNvPr id="28" name="Textbox 28"/>
                      <wps:cNvSpPr txBox="1"/>
                      <wps:spPr>
                        <a:xfrm>
                          <a:off x="0" y="0"/>
                          <a:ext cx="6699884" cy="854075"/>
                        </a:xfrm>
                        <a:prstGeom prst="rect">
                          <a:avLst/>
                        </a:prstGeom>
                        <a:ln w="7622">
                          <a:solidFill>
                            <a:srgbClr val="7F7F7F"/>
                          </a:solidFill>
                          <a:prstDash val="solid"/>
                        </a:ln>
                      </wps:spPr>
                      <wps:txbx>
                        <w:txbxContent>
                          <w:p>
                            <w:pPr>
                              <w:spacing w:before="149"/>
                              <w:ind w:left="84" w:right="0" w:firstLine="0"/>
                              <w:jc w:val="left"/>
                              <w:rPr>
                                <w:sz w:val="15"/>
                              </w:rPr>
                            </w:pPr>
                            <w:r>
                              <w:rPr>
                                <w:w w:val="105"/>
                                <w:sz w:val="15"/>
                              </w:rPr>
                              <w:t>Press</w:t>
                            </w:r>
                            <w:r>
                              <w:rPr>
                                <w:spacing w:val="-10"/>
                                <w:w w:val="105"/>
                                <w:sz w:val="15"/>
                              </w:rPr>
                              <w:t> </w:t>
                            </w:r>
                            <w:r>
                              <w:rPr>
                                <w:spacing w:val="-2"/>
                                <w:w w:val="105"/>
                                <w:sz w:val="15"/>
                              </w:rPr>
                              <w:t>contacts:</w:t>
                            </w:r>
                          </w:p>
                          <w:p>
                            <w:pPr>
                              <w:spacing w:before="178"/>
                              <w:ind w:left="564" w:right="0" w:firstLine="0"/>
                              <w:jc w:val="left"/>
                              <w:rPr>
                                <w:sz w:val="15"/>
                              </w:rPr>
                            </w:pPr>
                            <w:hyperlink r:id="rId9">
                              <w:r>
                                <w:rPr>
                                  <w:color w:val="0000ED"/>
                                  <w:w w:val="105"/>
                                  <w:sz w:val="15"/>
                                  <w:u w:val="single" w:color="0000ED"/>
                                </w:rPr>
                                <w:t>Eva</w:t>
                              </w:r>
                              <w:r>
                                <w:rPr>
                                  <w:color w:val="0000ED"/>
                                  <w:spacing w:val="-8"/>
                                  <w:w w:val="105"/>
                                  <w:sz w:val="15"/>
                                  <w:u w:val="single" w:color="0000ED"/>
                                </w:rPr>
                                <w:t> </w:t>
                              </w:r>
                              <w:r>
                                <w:rPr>
                                  <w:color w:val="0000ED"/>
                                  <w:w w:val="105"/>
                                  <w:sz w:val="15"/>
                                  <w:u w:val="single" w:color="0000ED"/>
                                </w:rPr>
                                <w:t>HRNCIROVA</w:t>
                              </w:r>
                            </w:hyperlink>
                            <w:r>
                              <w:rPr>
                                <w:color w:val="0000ED"/>
                                <w:spacing w:val="4"/>
                                <w:w w:val="105"/>
                                <w:sz w:val="15"/>
                              </w:rPr>
                              <w:t> </w:t>
                            </w:r>
                            <w:r>
                              <w:rPr>
                                <w:w w:val="105"/>
                                <w:sz w:val="15"/>
                              </w:rPr>
                              <w:t>(+32</w:t>
                            </w:r>
                            <w:r>
                              <w:rPr>
                                <w:spacing w:val="-8"/>
                                <w:w w:val="105"/>
                                <w:sz w:val="15"/>
                              </w:rPr>
                              <w:t> </w:t>
                            </w:r>
                            <w:r>
                              <w:rPr>
                                <w:w w:val="105"/>
                                <w:sz w:val="15"/>
                              </w:rPr>
                              <w:t>2</w:t>
                            </w:r>
                            <w:r>
                              <w:rPr>
                                <w:spacing w:val="-7"/>
                                <w:w w:val="105"/>
                                <w:sz w:val="15"/>
                              </w:rPr>
                              <w:t> </w:t>
                            </w:r>
                            <w:r>
                              <w:rPr>
                                <w:w w:val="105"/>
                                <w:sz w:val="15"/>
                              </w:rPr>
                              <w:t>29</w:t>
                            </w:r>
                            <w:r>
                              <w:rPr>
                                <w:spacing w:val="-8"/>
                                <w:w w:val="105"/>
                                <w:sz w:val="15"/>
                              </w:rPr>
                              <w:t> </w:t>
                            </w:r>
                            <w:r>
                              <w:rPr>
                                <w:spacing w:val="-2"/>
                                <w:w w:val="105"/>
                                <w:sz w:val="15"/>
                              </w:rPr>
                              <w:t>88433)</w:t>
                            </w:r>
                          </w:p>
                          <w:p>
                            <w:pPr>
                              <w:spacing w:before="22"/>
                              <w:ind w:left="564" w:right="0" w:firstLine="0"/>
                              <w:jc w:val="left"/>
                              <w:rPr>
                                <w:sz w:val="15"/>
                              </w:rPr>
                            </w:pPr>
                            <w:hyperlink r:id="rId10">
                              <w:r>
                                <w:rPr>
                                  <w:color w:val="0000ED"/>
                                  <w:w w:val="105"/>
                                  <w:sz w:val="15"/>
                                  <w:u w:val="single" w:color="0000ED"/>
                                </w:rPr>
                                <w:t>Daniel</w:t>
                              </w:r>
                              <w:r>
                                <w:rPr>
                                  <w:color w:val="0000ED"/>
                                  <w:spacing w:val="-8"/>
                                  <w:w w:val="105"/>
                                  <w:sz w:val="15"/>
                                  <w:u w:val="single" w:color="0000ED"/>
                                </w:rPr>
                                <w:t> </w:t>
                              </w:r>
                              <w:r>
                                <w:rPr>
                                  <w:color w:val="0000ED"/>
                                  <w:w w:val="105"/>
                                  <w:sz w:val="15"/>
                                  <w:u w:val="single" w:color="0000ED"/>
                                </w:rPr>
                                <w:t>PUGLISI</w:t>
                              </w:r>
                            </w:hyperlink>
                            <w:r>
                              <w:rPr>
                                <w:color w:val="0000ED"/>
                                <w:spacing w:val="-2"/>
                                <w:w w:val="105"/>
                                <w:sz w:val="15"/>
                              </w:rPr>
                              <w:t> </w:t>
                            </w:r>
                            <w:r>
                              <w:rPr>
                                <w:w w:val="105"/>
                                <w:sz w:val="15"/>
                              </w:rPr>
                              <w:t>(+32</w:t>
                            </w:r>
                            <w:r>
                              <w:rPr>
                                <w:spacing w:val="-8"/>
                                <w:w w:val="105"/>
                                <w:sz w:val="15"/>
                              </w:rPr>
                              <w:t> </w:t>
                            </w:r>
                            <w:r>
                              <w:rPr>
                                <w:w w:val="105"/>
                                <w:sz w:val="15"/>
                              </w:rPr>
                              <w:t>2</w:t>
                            </w:r>
                            <w:r>
                              <w:rPr>
                                <w:spacing w:val="-8"/>
                                <w:w w:val="105"/>
                                <w:sz w:val="15"/>
                              </w:rPr>
                              <w:t> </w:t>
                            </w:r>
                            <w:r>
                              <w:rPr>
                                <w:w w:val="105"/>
                                <w:sz w:val="15"/>
                              </w:rPr>
                              <w:t>29</w:t>
                            </w:r>
                            <w:r>
                              <w:rPr>
                                <w:spacing w:val="-8"/>
                                <w:w w:val="105"/>
                                <w:sz w:val="15"/>
                              </w:rPr>
                              <w:t> </w:t>
                            </w:r>
                            <w:r>
                              <w:rPr>
                                <w:spacing w:val="-2"/>
                                <w:w w:val="105"/>
                                <w:sz w:val="15"/>
                              </w:rPr>
                              <w:t>69140)</w:t>
                            </w:r>
                          </w:p>
                          <w:p>
                            <w:pPr>
                              <w:spacing w:before="117"/>
                              <w:ind w:left="84" w:right="0" w:firstLine="0"/>
                              <w:jc w:val="left"/>
                              <w:rPr>
                                <w:sz w:val="15"/>
                              </w:rPr>
                            </w:pPr>
                            <w:r>
                              <w:rPr>
                                <w:w w:val="105"/>
                                <w:sz w:val="15"/>
                              </w:rPr>
                              <w:t>General</w:t>
                            </w:r>
                            <w:r>
                              <w:rPr>
                                <w:spacing w:val="-8"/>
                                <w:w w:val="105"/>
                                <w:sz w:val="15"/>
                              </w:rPr>
                              <w:t> </w:t>
                            </w:r>
                            <w:r>
                              <w:rPr>
                                <w:w w:val="105"/>
                                <w:sz w:val="15"/>
                              </w:rPr>
                              <w:t>public</w:t>
                            </w:r>
                            <w:r>
                              <w:rPr>
                                <w:spacing w:val="-7"/>
                                <w:w w:val="105"/>
                                <w:sz w:val="15"/>
                              </w:rPr>
                              <w:t> </w:t>
                            </w:r>
                            <w:r>
                              <w:rPr>
                                <w:w w:val="105"/>
                                <w:sz w:val="15"/>
                              </w:rPr>
                              <w:t>inquiries:</w:t>
                            </w:r>
                            <w:r>
                              <w:rPr>
                                <w:spacing w:val="-5"/>
                                <w:w w:val="105"/>
                                <w:sz w:val="15"/>
                              </w:rPr>
                              <w:t> </w:t>
                            </w:r>
                            <w:hyperlink r:id="rId11">
                              <w:r>
                                <w:rPr>
                                  <w:color w:val="0000ED"/>
                                  <w:w w:val="105"/>
                                  <w:sz w:val="15"/>
                                  <w:u w:val="single" w:color="0000ED"/>
                                </w:rPr>
                                <w:t>Europe</w:t>
                              </w:r>
                              <w:r>
                                <w:rPr>
                                  <w:color w:val="0000ED"/>
                                  <w:spacing w:val="-7"/>
                                  <w:w w:val="105"/>
                                  <w:sz w:val="15"/>
                                  <w:u w:val="single" w:color="0000ED"/>
                                </w:rPr>
                                <w:t> </w:t>
                              </w:r>
                              <w:r>
                                <w:rPr>
                                  <w:color w:val="0000ED"/>
                                  <w:w w:val="105"/>
                                  <w:sz w:val="15"/>
                                  <w:u w:val="single" w:color="0000ED"/>
                                </w:rPr>
                                <w:t>Direct</w:t>
                              </w:r>
                            </w:hyperlink>
                            <w:r>
                              <w:rPr>
                                <w:color w:val="0000ED"/>
                                <w:spacing w:val="4"/>
                                <w:w w:val="105"/>
                                <w:sz w:val="15"/>
                              </w:rPr>
                              <w:t> </w:t>
                            </w:r>
                            <w:r>
                              <w:rPr>
                                <w:w w:val="105"/>
                                <w:sz w:val="15"/>
                              </w:rPr>
                              <w:t>by</w:t>
                            </w:r>
                            <w:r>
                              <w:rPr>
                                <w:spacing w:val="-7"/>
                                <w:w w:val="105"/>
                                <w:sz w:val="15"/>
                              </w:rPr>
                              <w:t> </w:t>
                            </w:r>
                            <w:r>
                              <w:rPr>
                                <w:w w:val="105"/>
                                <w:sz w:val="15"/>
                              </w:rPr>
                              <w:t>phone</w:t>
                            </w:r>
                            <w:r>
                              <w:rPr>
                                <w:spacing w:val="-3"/>
                                <w:w w:val="105"/>
                                <w:sz w:val="15"/>
                              </w:rPr>
                              <w:t> </w:t>
                            </w:r>
                            <w:hyperlink r:id="rId12">
                              <w:r>
                                <w:rPr>
                                  <w:color w:val="0000ED"/>
                                  <w:w w:val="105"/>
                                  <w:sz w:val="15"/>
                                  <w:u w:val="single" w:color="0000ED"/>
                                </w:rPr>
                                <w:t>00</w:t>
                              </w:r>
                              <w:r>
                                <w:rPr>
                                  <w:color w:val="0000ED"/>
                                  <w:spacing w:val="-7"/>
                                  <w:w w:val="105"/>
                                  <w:sz w:val="15"/>
                                  <w:u w:val="single" w:color="0000ED"/>
                                </w:rPr>
                                <w:t> </w:t>
                              </w:r>
                              <w:r>
                                <w:rPr>
                                  <w:color w:val="0000ED"/>
                                  <w:w w:val="105"/>
                                  <w:sz w:val="15"/>
                                  <w:u w:val="single" w:color="0000ED"/>
                                </w:rPr>
                                <w:t>800</w:t>
                              </w:r>
                              <w:r>
                                <w:rPr>
                                  <w:color w:val="0000ED"/>
                                  <w:spacing w:val="-7"/>
                                  <w:w w:val="105"/>
                                  <w:sz w:val="15"/>
                                  <w:u w:val="single" w:color="0000ED"/>
                                </w:rPr>
                                <w:t> </w:t>
                              </w:r>
                              <w:r>
                                <w:rPr>
                                  <w:color w:val="0000ED"/>
                                  <w:w w:val="105"/>
                                  <w:sz w:val="15"/>
                                  <w:u w:val="single" w:color="0000ED"/>
                                </w:rPr>
                                <w:t>67</w:t>
                              </w:r>
                              <w:r>
                                <w:rPr>
                                  <w:color w:val="0000ED"/>
                                  <w:spacing w:val="-7"/>
                                  <w:w w:val="105"/>
                                  <w:sz w:val="15"/>
                                  <w:u w:val="single" w:color="0000ED"/>
                                </w:rPr>
                                <w:t> </w:t>
                              </w:r>
                              <w:r>
                                <w:rPr>
                                  <w:color w:val="0000ED"/>
                                  <w:w w:val="105"/>
                                  <w:sz w:val="15"/>
                                  <w:u w:val="single" w:color="0000ED"/>
                                </w:rPr>
                                <w:t>89</w:t>
                              </w:r>
                              <w:r>
                                <w:rPr>
                                  <w:color w:val="0000ED"/>
                                  <w:spacing w:val="-8"/>
                                  <w:w w:val="105"/>
                                  <w:sz w:val="15"/>
                                  <w:u w:val="single" w:color="0000ED"/>
                                </w:rPr>
                                <w:t> </w:t>
                              </w:r>
                              <w:r>
                                <w:rPr>
                                  <w:color w:val="0000ED"/>
                                  <w:w w:val="105"/>
                                  <w:sz w:val="15"/>
                                  <w:u w:val="single" w:color="0000ED"/>
                                </w:rPr>
                                <w:t>10</w:t>
                              </w:r>
                              <w:r>
                                <w:rPr>
                                  <w:color w:val="0000ED"/>
                                  <w:spacing w:val="-7"/>
                                  <w:w w:val="105"/>
                                  <w:sz w:val="15"/>
                                  <w:u w:val="single" w:color="0000ED"/>
                                </w:rPr>
                                <w:t> </w:t>
                              </w:r>
                              <w:r>
                                <w:rPr>
                                  <w:color w:val="0000ED"/>
                                  <w:w w:val="105"/>
                                  <w:sz w:val="15"/>
                                  <w:u w:val="single" w:color="0000ED"/>
                                </w:rPr>
                                <w:t>11</w:t>
                              </w:r>
                            </w:hyperlink>
                            <w:r>
                              <w:rPr>
                                <w:color w:val="0000ED"/>
                                <w:spacing w:val="46"/>
                                <w:w w:val="105"/>
                                <w:sz w:val="15"/>
                              </w:rPr>
                              <w:t> </w:t>
                            </w:r>
                            <w:r>
                              <w:rPr>
                                <w:w w:val="105"/>
                                <w:sz w:val="15"/>
                              </w:rPr>
                              <w:t>or</w:t>
                            </w:r>
                            <w:r>
                              <w:rPr>
                                <w:spacing w:val="-7"/>
                                <w:w w:val="105"/>
                                <w:sz w:val="15"/>
                              </w:rPr>
                              <w:t> </w:t>
                            </w:r>
                            <w:r>
                              <w:rPr>
                                <w:w w:val="105"/>
                                <w:sz w:val="15"/>
                              </w:rPr>
                              <w:t>by</w:t>
                            </w:r>
                            <w:r>
                              <w:rPr>
                                <w:spacing w:val="-5"/>
                                <w:w w:val="105"/>
                                <w:sz w:val="15"/>
                              </w:rPr>
                              <w:t> </w:t>
                            </w:r>
                            <w:hyperlink r:id="rId13">
                              <w:r>
                                <w:rPr>
                                  <w:color w:val="0000ED"/>
                                  <w:spacing w:val="-2"/>
                                  <w:w w:val="105"/>
                                  <w:sz w:val="15"/>
                                  <w:u w:val="single" w:color="0000ED"/>
                                </w:rPr>
                                <w:t>emai</w:t>
                              </w:r>
                            </w:hyperlink>
                            <w:r>
                              <w:rPr>
                                <w:color w:val="0000ED"/>
                                <w:spacing w:val="-2"/>
                                <w:w w:val="105"/>
                                <w:sz w:val="15"/>
                              </w:rPr>
                              <w:t>l</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3.601421pt;margin-top:10.107325pt;width:527.550pt;height:67.25pt;mso-position-horizontal-relative:page;mso-position-vertical-relative:paragraph;z-index:-15727104;mso-wrap-distance-left:0;mso-wrap-distance-right:0" type="#_x0000_t202" id="docshape1" filled="false" stroked="true" strokeweight=".600167pt" strokecolor="#7f7f7f">
                <v:textbox inset="0,0,0,0">
                  <w:txbxContent>
                    <w:p>
                      <w:pPr>
                        <w:spacing w:before="149"/>
                        <w:ind w:left="84" w:right="0" w:firstLine="0"/>
                        <w:jc w:val="left"/>
                        <w:rPr>
                          <w:sz w:val="15"/>
                        </w:rPr>
                      </w:pPr>
                      <w:r>
                        <w:rPr>
                          <w:w w:val="105"/>
                          <w:sz w:val="15"/>
                        </w:rPr>
                        <w:t>Press</w:t>
                      </w:r>
                      <w:r>
                        <w:rPr>
                          <w:spacing w:val="-10"/>
                          <w:w w:val="105"/>
                          <w:sz w:val="15"/>
                        </w:rPr>
                        <w:t> </w:t>
                      </w:r>
                      <w:r>
                        <w:rPr>
                          <w:spacing w:val="-2"/>
                          <w:w w:val="105"/>
                          <w:sz w:val="15"/>
                        </w:rPr>
                        <w:t>contacts:</w:t>
                      </w:r>
                    </w:p>
                    <w:p>
                      <w:pPr>
                        <w:spacing w:before="178"/>
                        <w:ind w:left="564" w:right="0" w:firstLine="0"/>
                        <w:jc w:val="left"/>
                        <w:rPr>
                          <w:sz w:val="15"/>
                        </w:rPr>
                      </w:pPr>
                      <w:hyperlink r:id="rId9">
                        <w:r>
                          <w:rPr>
                            <w:color w:val="0000ED"/>
                            <w:w w:val="105"/>
                            <w:sz w:val="15"/>
                            <w:u w:val="single" w:color="0000ED"/>
                          </w:rPr>
                          <w:t>Eva</w:t>
                        </w:r>
                        <w:r>
                          <w:rPr>
                            <w:color w:val="0000ED"/>
                            <w:spacing w:val="-8"/>
                            <w:w w:val="105"/>
                            <w:sz w:val="15"/>
                            <w:u w:val="single" w:color="0000ED"/>
                          </w:rPr>
                          <w:t> </w:t>
                        </w:r>
                        <w:r>
                          <w:rPr>
                            <w:color w:val="0000ED"/>
                            <w:w w:val="105"/>
                            <w:sz w:val="15"/>
                            <w:u w:val="single" w:color="0000ED"/>
                          </w:rPr>
                          <w:t>HRNCIROVA</w:t>
                        </w:r>
                      </w:hyperlink>
                      <w:r>
                        <w:rPr>
                          <w:color w:val="0000ED"/>
                          <w:spacing w:val="4"/>
                          <w:w w:val="105"/>
                          <w:sz w:val="15"/>
                        </w:rPr>
                        <w:t> </w:t>
                      </w:r>
                      <w:r>
                        <w:rPr>
                          <w:w w:val="105"/>
                          <w:sz w:val="15"/>
                        </w:rPr>
                        <w:t>(+32</w:t>
                      </w:r>
                      <w:r>
                        <w:rPr>
                          <w:spacing w:val="-8"/>
                          <w:w w:val="105"/>
                          <w:sz w:val="15"/>
                        </w:rPr>
                        <w:t> </w:t>
                      </w:r>
                      <w:r>
                        <w:rPr>
                          <w:w w:val="105"/>
                          <w:sz w:val="15"/>
                        </w:rPr>
                        <w:t>2</w:t>
                      </w:r>
                      <w:r>
                        <w:rPr>
                          <w:spacing w:val="-7"/>
                          <w:w w:val="105"/>
                          <w:sz w:val="15"/>
                        </w:rPr>
                        <w:t> </w:t>
                      </w:r>
                      <w:r>
                        <w:rPr>
                          <w:w w:val="105"/>
                          <w:sz w:val="15"/>
                        </w:rPr>
                        <w:t>29</w:t>
                      </w:r>
                      <w:r>
                        <w:rPr>
                          <w:spacing w:val="-8"/>
                          <w:w w:val="105"/>
                          <w:sz w:val="15"/>
                        </w:rPr>
                        <w:t> </w:t>
                      </w:r>
                      <w:r>
                        <w:rPr>
                          <w:spacing w:val="-2"/>
                          <w:w w:val="105"/>
                          <w:sz w:val="15"/>
                        </w:rPr>
                        <w:t>88433)</w:t>
                      </w:r>
                    </w:p>
                    <w:p>
                      <w:pPr>
                        <w:spacing w:before="22"/>
                        <w:ind w:left="564" w:right="0" w:firstLine="0"/>
                        <w:jc w:val="left"/>
                        <w:rPr>
                          <w:sz w:val="15"/>
                        </w:rPr>
                      </w:pPr>
                      <w:hyperlink r:id="rId10">
                        <w:r>
                          <w:rPr>
                            <w:color w:val="0000ED"/>
                            <w:w w:val="105"/>
                            <w:sz w:val="15"/>
                            <w:u w:val="single" w:color="0000ED"/>
                          </w:rPr>
                          <w:t>Daniel</w:t>
                        </w:r>
                        <w:r>
                          <w:rPr>
                            <w:color w:val="0000ED"/>
                            <w:spacing w:val="-8"/>
                            <w:w w:val="105"/>
                            <w:sz w:val="15"/>
                            <w:u w:val="single" w:color="0000ED"/>
                          </w:rPr>
                          <w:t> </w:t>
                        </w:r>
                        <w:r>
                          <w:rPr>
                            <w:color w:val="0000ED"/>
                            <w:w w:val="105"/>
                            <w:sz w:val="15"/>
                            <w:u w:val="single" w:color="0000ED"/>
                          </w:rPr>
                          <w:t>PUGLISI</w:t>
                        </w:r>
                      </w:hyperlink>
                      <w:r>
                        <w:rPr>
                          <w:color w:val="0000ED"/>
                          <w:spacing w:val="-2"/>
                          <w:w w:val="105"/>
                          <w:sz w:val="15"/>
                        </w:rPr>
                        <w:t> </w:t>
                      </w:r>
                      <w:r>
                        <w:rPr>
                          <w:w w:val="105"/>
                          <w:sz w:val="15"/>
                        </w:rPr>
                        <w:t>(+32</w:t>
                      </w:r>
                      <w:r>
                        <w:rPr>
                          <w:spacing w:val="-8"/>
                          <w:w w:val="105"/>
                          <w:sz w:val="15"/>
                        </w:rPr>
                        <w:t> </w:t>
                      </w:r>
                      <w:r>
                        <w:rPr>
                          <w:w w:val="105"/>
                          <w:sz w:val="15"/>
                        </w:rPr>
                        <w:t>2</w:t>
                      </w:r>
                      <w:r>
                        <w:rPr>
                          <w:spacing w:val="-8"/>
                          <w:w w:val="105"/>
                          <w:sz w:val="15"/>
                        </w:rPr>
                        <w:t> </w:t>
                      </w:r>
                      <w:r>
                        <w:rPr>
                          <w:w w:val="105"/>
                          <w:sz w:val="15"/>
                        </w:rPr>
                        <w:t>29</w:t>
                      </w:r>
                      <w:r>
                        <w:rPr>
                          <w:spacing w:val="-8"/>
                          <w:w w:val="105"/>
                          <w:sz w:val="15"/>
                        </w:rPr>
                        <w:t> </w:t>
                      </w:r>
                      <w:r>
                        <w:rPr>
                          <w:spacing w:val="-2"/>
                          <w:w w:val="105"/>
                          <w:sz w:val="15"/>
                        </w:rPr>
                        <w:t>69140)</w:t>
                      </w:r>
                    </w:p>
                    <w:p>
                      <w:pPr>
                        <w:spacing w:before="117"/>
                        <w:ind w:left="84" w:right="0" w:firstLine="0"/>
                        <w:jc w:val="left"/>
                        <w:rPr>
                          <w:sz w:val="15"/>
                        </w:rPr>
                      </w:pPr>
                      <w:r>
                        <w:rPr>
                          <w:w w:val="105"/>
                          <w:sz w:val="15"/>
                        </w:rPr>
                        <w:t>General</w:t>
                      </w:r>
                      <w:r>
                        <w:rPr>
                          <w:spacing w:val="-8"/>
                          <w:w w:val="105"/>
                          <w:sz w:val="15"/>
                        </w:rPr>
                        <w:t> </w:t>
                      </w:r>
                      <w:r>
                        <w:rPr>
                          <w:w w:val="105"/>
                          <w:sz w:val="15"/>
                        </w:rPr>
                        <w:t>public</w:t>
                      </w:r>
                      <w:r>
                        <w:rPr>
                          <w:spacing w:val="-7"/>
                          <w:w w:val="105"/>
                          <w:sz w:val="15"/>
                        </w:rPr>
                        <w:t> </w:t>
                      </w:r>
                      <w:r>
                        <w:rPr>
                          <w:w w:val="105"/>
                          <w:sz w:val="15"/>
                        </w:rPr>
                        <w:t>inquiries:</w:t>
                      </w:r>
                      <w:r>
                        <w:rPr>
                          <w:spacing w:val="-5"/>
                          <w:w w:val="105"/>
                          <w:sz w:val="15"/>
                        </w:rPr>
                        <w:t> </w:t>
                      </w:r>
                      <w:hyperlink r:id="rId11">
                        <w:r>
                          <w:rPr>
                            <w:color w:val="0000ED"/>
                            <w:w w:val="105"/>
                            <w:sz w:val="15"/>
                            <w:u w:val="single" w:color="0000ED"/>
                          </w:rPr>
                          <w:t>Europe</w:t>
                        </w:r>
                        <w:r>
                          <w:rPr>
                            <w:color w:val="0000ED"/>
                            <w:spacing w:val="-7"/>
                            <w:w w:val="105"/>
                            <w:sz w:val="15"/>
                            <w:u w:val="single" w:color="0000ED"/>
                          </w:rPr>
                          <w:t> </w:t>
                        </w:r>
                        <w:r>
                          <w:rPr>
                            <w:color w:val="0000ED"/>
                            <w:w w:val="105"/>
                            <w:sz w:val="15"/>
                            <w:u w:val="single" w:color="0000ED"/>
                          </w:rPr>
                          <w:t>Direct</w:t>
                        </w:r>
                      </w:hyperlink>
                      <w:r>
                        <w:rPr>
                          <w:color w:val="0000ED"/>
                          <w:spacing w:val="4"/>
                          <w:w w:val="105"/>
                          <w:sz w:val="15"/>
                        </w:rPr>
                        <w:t> </w:t>
                      </w:r>
                      <w:r>
                        <w:rPr>
                          <w:w w:val="105"/>
                          <w:sz w:val="15"/>
                        </w:rPr>
                        <w:t>by</w:t>
                      </w:r>
                      <w:r>
                        <w:rPr>
                          <w:spacing w:val="-7"/>
                          <w:w w:val="105"/>
                          <w:sz w:val="15"/>
                        </w:rPr>
                        <w:t> </w:t>
                      </w:r>
                      <w:r>
                        <w:rPr>
                          <w:w w:val="105"/>
                          <w:sz w:val="15"/>
                        </w:rPr>
                        <w:t>phone</w:t>
                      </w:r>
                      <w:r>
                        <w:rPr>
                          <w:spacing w:val="-3"/>
                          <w:w w:val="105"/>
                          <w:sz w:val="15"/>
                        </w:rPr>
                        <w:t> </w:t>
                      </w:r>
                      <w:hyperlink r:id="rId12">
                        <w:r>
                          <w:rPr>
                            <w:color w:val="0000ED"/>
                            <w:w w:val="105"/>
                            <w:sz w:val="15"/>
                            <w:u w:val="single" w:color="0000ED"/>
                          </w:rPr>
                          <w:t>00</w:t>
                        </w:r>
                        <w:r>
                          <w:rPr>
                            <w:color w:val="0000ED"/>
                            <w:spacing w:val="-7"/>
                            <w:w w:val="105"/>
                            <w:sz w:val="15"/>
                            <w:u w:val="single" w:color="0000ED"/>
                          </w:rPr>
                          <w:t> </w:t>
                        </w:r>
                        <w:r>
                          <w:rPr>
                            <w:color w:val="0000ED"/>
                            <w:w w:val="105"/>
                            <w:sz w:val="15"/>
                            <w:u w:val="single" w:color="0000ED"/>
                          </w:rPr>
                          <w:t>800</w:t>
                        </w:r>
                        <w:r>
                          <w:rPr>
                            <w:color w:val="0000ED"/>
                            <w:spacing w:val="-7"/>
                            <w:w w:val="105"/>
                            <w:sz w:val="15"/>
                            <w:u w:val="single" w:color="0000ED"/>
                          </w:rPr>
                          <w:t> </w:t>
                        </w:r>
                        <w:r>
                          <w:rPr>
                            <w:color w:val="0000ED"/>
                            <w:w w:val="105"/>
                            <w:sz w:val="15"/>
                            <w:u w:val="single" w:color="0000ED"/>
                          </w:rPr>
                          <w:t>67</w:t>
                        </w:r>
                        <w:r>
                          <w:rPr>
                            <w:color w:val="0000ED"/>
                            <w:spacing w:val="-7"/>
                            <w:w w:val="105"/>
                            <w:sz w:val="15"/>
                            <w:u w:val="single" w:color="0000ED"/>
                          </w:rPr>
                          <w:t> </w:t>
                        </w:r>
                        <w:r>
                          <w:rPr>
                            <w:color w:val="0000ED"/>
                            <w:w w:val="105"/>
                            <w:sz w:val="15"/>
                            <w:u w:val="single" w:color="0000ED"/>
                          </w:rPr>
                          <w:t>89</w:t>
                        </w:r>
                        <w:r>
                          <w:rPr>
                            <w:color w:val="0000ED"/>
                            <w:spacing w:val="-8"/>
                            <w:w w:val="105"/>
                            <w:sz w:val="15"/>
                            <w:u w:val="single" w:color="0000ED"/>
                          </w:rPr>
                          <w:t> </w:t>
                        </w:r>
                        <w:r>
                          <w:rPr>
                            <w:color w:val="0000ED"/>
                            <w:w w:val="105"/>
                            <w:sz w:val="15"/>
                            <w:u w:val="single" w:color="0000ED"/>
                          </w:rPr>
                          <w:t>10</w:t>
                        </w:r>
                        <w:r>
                          <w:rPr>
                            <w:color w:val="0000ED"/>
                            <w:spacing w:val="-7"/>
                            <w:w w:val="105"/>
                            <w:sz w:val="15"/>
                            <w:u w:val="single" w:color="0000ED"/>
                          </w:rPr>
                          <w:t> </w:t>
                        </w:r>
                        <w:r>
                          <w:rPr>
                            <w:color w:val="0000ED"/>
                            <w:w w:val="105"/>
                            <w:sz w:val="15"/>
                            <w:u w:val="single" w:color="0000ED"/>
                          </w:rPr>
                          <w:t>11</w:t>
                        </w:r>
                      </w:hyperlink>
                      <w:r>
                        <w:rPr>
                          <w:color w:val="0000ED"/>
                          <w:spacing w:val="46"/>
                          <w:w w:val="105"/>
                          <w:sz w:val="15"/>
                        </w:rPr>
                        <w:t> </w:t>
                      </w:r>
                      <w:r>
                        <w:rPr>
                          <w:w w:val="105"/>
                          <w:sz w:val="15"/>
                        </w:rPr>
                        <w:t>or</w:t>
                      </w:r>
                      <w:r>
                        <w:rPr>
                          <w:spacing w:val="-7"/>
                          <w:w w:val="105"/>
                          <w:sz w:val="15"/>
                        </w:rPr>
                        <w:t> </w:t>
                      </w:r>
                      <w:r>
                        <w:rPr>
                          <w:w w:val="105"/>
                          <w:sz w:val="15"/>
                        </w:rPr>
                        <w:t>by</w:t>
                      </w:r>
                      <w:r>
                        <w:rPr>
                          <w:spacing w:val="-5"/>
                          <w:w w:val="105"/>
                          <w:sz w:val="15"/>
                        </w:rPr>
                        <w:t> </w:t>
                      </w:r>
                      <w:hyperlink r:id="rId13">
                        <w:r>
                          <w:rPr>
                            <w:color w:val="0000ED"/>
                            <w:spacing w:val="-2"/>
                            <w:w w:val="105"/>
                            <w:sz w:val="15"/>
                            <w:u w:val="single" w:color="0000ED"/>
                          </w:rPr>
                          <w:t>emai</w:t>
                        </w:r>
                      </w:hyperlink>
                      <w:r>
                        <w:rPr>
                          <w:color w:val="0000ED"/>
                          <w:spacing w:val="-2"/>
                          <w:w w:val="105"/>
                          <w:sz w:val="15"/>
                        </w:rPr>
                        <w:t>l</w:t>
                      </w:r>
                    </w:p>
                  </w:txbxContent>
                </v:textbox>
                <v:stroke dashstyle="solid"/>
                <w10:wrap type="topAndBottom"/>
              </v:shape>
            </w:pict>
          </mc:Fallback>
        </mc:AlternateContent>
      </w:r>
    </w:p>
    <w:sectPr>
      <w:pgSz w:w="11900" w:h="16840"/>
      <w:pgMar w:top="500" w:bottom="28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Verdana">
    <w:altName w:val="Verdana"/>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spacing w:before="165"/>
      <w:ind w:left="580"/>
    </w:pPr>
    <w:rPr>
      <w:rFonts w:ascii="Verdana" w:hAnsi="Verdana" w:eastAsia="Verdana" w:cs="Verdana"/>
      <w:sz w:val="20"/>
      <w:szCs w:val="20"/>
      <w:lang w:val="en-US" w:eastAsia="en-US" w:bidi="ar-SA"/>
    </w:rPr>
  </w:style>
  <w:style w:styleId="Heading1" w:type="paragraph">
    <w:name w:val="Heading 1"/>
    <w:basedOn w:val="Normal"/>
    <w:uiPriority w:val="1"/>
    <w:qFormat/>
    <w:pPr>
      <w:spacing w:before="140"/>
      <w:ind w:left="100"/>
      <w:outlineLvl w:val="1"/>
    </w:pPr>
    <w:rPr>
      <w:rFonts w:ascii="Verdana" w:hAnsi="Verdana" w:eastAsia="Verdana" w:cs="Verdana"/>
      <w:b/>
      <w:bCs/>
      <w:sz w:val="20"/>
      <w:szCs w:val="20"/>
      <w:lang w:val="en-US" w:eastAsia="en-US" w:bidi="ar-SA"/>
    </w:rPr>
  </w:style>
  <w:style w:styleId="Title" w:type="paragraph">
    <w:name w:val="Title"/>
    <w:basedOn w:val="Normal"/>
    <w:uiPriority w:val="1"/>
    <w:qFormat/>
    <w:pPr>
      <w:ind w:left="100"/>
    </w:pPr>
    <w:rPr>
      <w:rFonts w:ascii="Verdana" w:hAnsi="Verdana" w:eastAsia="Verdana" w:cs="Verdana"/>
      <w:b/>
      <w:bCs/>
      <w:sz w:val="25"/>
      <w:szCs w:val="25"/>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hyperlink" Target="mailto:eva.hrncirova@ec.europa.eu" TargetMode="External"/><Relationship Id="rId10" Type="http://schemas.openxmlformats.org/officeDocument/2006/relationships/hyperlink" Target="mailto:daniel.puglisi@ec.europa.eu" TargetMode="External"/><Relationship Id="rId11" Type="http://schemas.openxmlformats.org/officeDocument/2006/relationships/hyperlink" Target="http://europa.eu/contact/" TargetMode="External"/><Relationship Id="rId12" Type="http://schemas.openxmlformats.org/officeDocument/2006/relationships/hyperlink" Target="http://europa.eu/contact/call-us/index_en.htm" TargetMode="External"/><Relationship Id="rId13" Type="http://schemas.openxmlformats.org/officeDocument/2006/relationships/hyperlink" Target="http://europa.eu/contact/write-to-us/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2025-03-27T04:35:00Z</dcterms:created>
  <dcterms:modified xsi:type="dcterms:W3CDTF">2025-03-27T04:35:00Z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2025-03-26T00:00:00Z</vt:filetime>
  </property>
  <property fmtid="{D5CDD505-2E9C-101B-9397-08002B2CF9AE}" pid="3" name="Creator">
    <vt:lpwstr>wkhtmltopdf 0.12.6</vt:lpwstr>
  </property>
  <property fmtid="{D5CDD505-2E9C-101B-9397-08002B2CF9AE}" pid="4" name="Producer">
    <vt:lpwstr>Qt 4.8.7</vt:lpwstr>
  </property>
  <property fmtid="{D5CDD505-2E9C-101B-9397-08002B2CF9AE}" pid="5" name="LastSaved">
    <vt:filetime>2025-03-26T00:00:00Z</vt:filetime>
  </property>
</Properties>
</file>