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B85B" w14:textId="69C59BDB" w:rsidR="00DA60C6" w:rsidRDefault="00DA60C6">
      <w:pPr>
        <w:pStyle w:val="a3"/>
        <w:spacing w:before="5"/>
        <w:ind w:left="0"/>
        <w:jc w:val="left"/>
        <w:rPr>
          <w:sz w:val="10"/>
        </w:rPr>
      </w:pPr>
    </w:p>
    <w:p w14:paraId="436B4CCE" w14:textId="77777777" w:rsidR="00DA60C6" w:rsidRDefault="00DA60C6">
      <w:pPr>
        <w:pStyle w:val="a3"/>
        <w:jc w:val="left"/>
        <w:rPr>
          <w:sz w:val="10"/>
        </w:rPr>
        <w:sectPr w:rsidR="00DA60C6">
          <w:type w:val="continuous"/>
          <w:pgSz w:w="11910" w:h="16840"/>
          <w:pgMar w:top="1460" w:right="566" w:bottom="280" w:left="425" w:header="720" w:footer="720" w:gutter="0"/>
          <w:cols w:space="720"/>
        </w:sectPr>
      </w:pPr>
    </w:p>
    <w:p w14:paraId="066E5B33" w14:textId="77777777" w:rsidR="00DA60C6" w:rsidRDefault="00DA60C6">
      <w:pPr>
        <w:pStyle w:val="a3"/>
        <w:ind w:left="0"/>
        <w:jc w:val="left"/>
        <w:rPr>
          <w:sz w:val="23"/>
        </w:rPr>
      </w:pPr>
    </w:p>
    <w:p w14:paraId="52AD5744" w14:textId="77777777" w:rsidR="00DA60C6" w:rsidRDefault="00DA60C6">
      <w:pPr>
        <w:pStyle w:val="a3"/>
        <w:spacing w:before="94"/>
        <w:ind w:left="0"/>
        <w:jc w:val="left"/>
        <w:rPr>
          <w:sz w:val="23"/>
        </w:rPr>
      </w:pPr>
    </w:p>
    <w:p w14:paraId="5EF9BE31" w14:textId="77777777" w:rsidR="00DA60C6" w:rsidRPr="007A6A0F" w:rsidRDefault="0045219D">
      <w:pPr>
        <w:ind w:left="3666"/>
        <w:rPr>
          <w:rFonts w:ascii="Arial MT"/>
          <w:sz w:val="23"/>
          <w:lang w:val="ru-RU"/>
        </w:rPr>
      </w:pPr>
      <w:r>
        <w:rPr>
          <w:rFonts w:ascii="Arial MT"/>
          <w:noProof/>
          <w:sz w:val="23"/>
        </w:rPr>
        <w:drawing>
          <wp:anchor distT="0" distB="0" distL="0" distR="0" simplePos="0" relativeHeight="15728640" behindDoc="0" locked="0" layoutInCell="1" allowOverlap="1" wp14:anchorId="3910A1B7" wp14:editId="4E18CC03">
            <wp:simplePos x="0" y="0"/>
            <wp:positionH relativeFrom="page">
              <wp:posOffset>909065</wp:posOffset>
            </wp:positionH>
            <wp:positionV relativeFrom="paragraph">
              <wp:posOffset>-466127</wp:posOffset>
            </wp:positionV>
            <wp:extent cx="1587853" cy="778499"/>
            <wp:effectExtent l="0" t="0" r="0" b="0"/>
            <wp:wrapNone/>
            <wp:docPr id="1" name="Image 1" descr="03352C26-F5E4-4297-B2BC-A96CCAA627B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3352C26-F5E4-4297-B2BC-A96CCAA627B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853" cy="77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A0F">
        <w:rPr>
          <w:rFonts w:ascii="Arial MT"/>
          <w:spacing w:val="-2"/>
          <w:sz w:val="23"/>
          <w:lang w:val="ru-RU"/>
        </w:rPr>
        <w:t>ЕВРОПЕЙСКАЯ</w:t>
      </w:r>
      <w:r w:rsidRPr="007A6A0F">
        <w:rPr>
          <w:rFonts w:ascii="Arial MT"/>
          <w:spacing w:val="-2"/>
          <w:sz w:val="23"/>
          <w:lang w:val="ru-RU"/>
        </w:rPr>
        <w:t xml:space="preserve"> </w:t>
      </w:r>
      <w:r w:rsidRPr="007A6A0F">
        <w:rPr>
          <w:rFonts w:ascii="Arial MT"/>
          <w:spacing w:val="-2"/>
          <w:sz w:val="23"/>
          <w:lang w:val="ru-RU"/>
        </w:rPr>
        <w:t>КОМИССИЯ</w:t>
      </w:r>
    </w:p>
    <w:p w14:paraId="2E024C9F" w14:textId="77777777" w:rsidR="00DA60C6" w:rsidRPr="007A6A0F" w:rsidRDefault="0045219D">
      <w:pPr>
        <w:spacing w:before="93"/>
        <w:ind w:left="2132" w:right="932" w:hanging="77"/>
        <w:jc w:val="right"/>
        <w:rPr>
          <w:rFonts w:ascii="Arial MT"/>
          <w:sz w:val="23"/>
          <w:lang w:val="ru-RU"/>
        </w:rPr>
      </w:pPr>
      <w:r w:rsidRPr="007A6A0F">
        <w:rPr>
          <w:lang w:val="ru-RU"/>
        </w:rPr>
        <w:br w:type="column"/>
      </w:r>
      <w:r w:rsidRPr="007A6A0F">
        <w:rPr>
          <w:rFonts w:ascii="Arial MT"/>
          <w:sz w:val="23"/>
          <w:lang w:val="ru-RU"/>
        </w:rPr>
        <w:t>ВЕРХОВНЫЙ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ПРЕДСТАВИТЕЛЬ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ЕС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ПО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ИНОСТРАННЫМ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ДЕЛАМ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И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ПОЛИТИКЕ</w:t>
      </w:r>
      <w:r w:rsidRPr="007A6A0F">
        <w:rPr>
          <w:rFonts w:ascii="Arial MT"/>
          <w:sz w:val="23"/>
          <w:lang w:val="ru-RU"/>
        </w:rPr>
        <w:t xml:space="preserve"> </w:t>
      </w:r>
      <w:r w:rsidRPr="007A6A0F">
        <w:rPr>
          <w:rFonts w:ascii="Arial MT"/>
          <w:sz w:val="23"/>
          <w:lang w:val="ru-RU"/>
        </w:rPr>
        <w:t>БЕЗОПАСНОСТИ</w:t>
      </w:r>
    </w:p>
    <w:p w14:paraId="29423C0A" w14:textId="77777777" w:rsidR="00DA60C6" w:rsidRPr="007A6A0F" w:rsidRDefault="00DA60C6">
      <w:pPr>
        <w:pStyle w:val="a3"/>
        <w:ind w:left="0"/>
        <w:jc w:val="left"/>
        <w:rPr>
          <w:rFonts w:ascii="Arial MT"/>
          <w:sz w:val="23"/>
          <w:lang w:val="ru-RU"/>
        </w:rPr>
      </w:pPr>
    </w:p>
    <w:p w14:paraId="6D062206" w14:textId="77777777" w:rsidR="00DA60C6" w:rsidRPr="007A6A0F" w:rsidRDefault="00DA60C6">
      <w:pPr>
        <w:pStyle w:val="a3"/>
        <w:ind w:left="0"/>
        <w:jc w:val="left"/>
        <w:rPr>
          <w:rFonts w:ascii="Arial MT"/>
          <w:sz w:val="23"/>
          <w:lang w:val="ru-RU"/>
        </w:rPr>
      </w:pPr>
    </w:p>
    <w:p w14:paraId="1F542A95" w14:textId="77777777" w:rsidR="00DA60C6" w:rsidRPr="007A6A0F" w:rsidRDefault="00DA60C6">
      <w:pPr>
        <w:pStyle w:val="a3"/>
        <w:spacing w:before="244"/>
        <w:ind w:left="0"/>
        <w:jc w:val="left"/>
        <w:rPr>
          <w:rFonts w:ascii="Arial MT"/>
          <w:sz w:val="23"/>
          <w:lang w:val="ru-RU"/>
        </w:rPr>
      </w:pPr>
    </w:p>
    <w:p w14:paraId="7AF246E7" w14:textId="77777777" w:rsidR="00DA60C6" w:rsidRPr="007A6A0F" w:rsidRDefault="0045219D">
      <w:pPr>
        <w:pStyle w:val="a3"/>
        <w:ind w:left="896"/>
        <w:jc w:val="left"/>
        <w:rPr>
          <w:lang w:val="ru-RU"/>
        </w:rPr>
      </w:pPr>
      <w:r w:rsidRPr="007A6A0F">
        <w:rPr>
          <w:lang w:val="ru-RU"/>
        </w:rPr>
        <w:t>Брюссель, 26.3.2025</w:t>
      </w:r>
    </w:p>
    <w:p w14:paraId="3B9715A3" w14:textId="77777777" w:rsidR="00DA60C6" w:rsidRPr="007A6A0F" w:rsidRDefault="0045219D">
      <w:pPr>
        <w:pStyle w:val="a3"/>
        <w:ind w:left="896"/>
        <w:jc w:val="left"/>
        <w:rPr>
          <w:lang w:val="ru-RU"/>
        </w:rPr>
      </w:pPr>
      <w:r>
        <w:t>JOIN</w:t>
      </w:r>
      <w:r w:rsidRPr="007A6A0F">
        <w:rPr>
          <w:lang w:val="ru-RU"/>
        </w:rPr>
        <w:t>(2025) 130 финал</w:t>
      </w:r>
    </w:p>
    <w:p w14:paraId="2E25E2A9" w14:textId="77777777" w:rsidR="00DA60C6" w:rsidRPr="007A6A0F" w:rsidRDefault="00DA60C6">
      <w:pPr>
        <w:pStyle w:val="a3"/>
        <w:jc w:val="left"/>
        <w:rPr>
          <w:lang w:val="ru-RU"/>
        </w:rPr>
        <w:sectPr w:rsidR="00DA60C6" w:rsidRPr="007A6A0F">
          <w:type w:val="continuous"/>
          <w:pgSz w:w="11910" w:h="16840"/>
          <w:pgMar w:top="1460" w:right="566" w:bottom="280" w:left="425" w:header="720" w:footer="720" w:gutter="0"/>
          <w:cols w:num="2" w:space="720" w:equalWidth="0">
            <w:col w:w="5174" w:space="40"/>
            <w:col w:w="5705"/>
          </w:cols>
        </w:sectPr>
      </w:pPr>
    </w:p>
    <w:p w14:paraId="7E753C11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728E4DBC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58492559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092AB182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45E88A77" w14:textId="77777777" w:rsidR="00DA60C6" w:rsidRPr="007A6A0F" w:rsidRDefault="00DA60C6">
      <w:pPr>
        <w:pStyle w:val="a3"/>
        <w:spacing w:before="72"/>
        <w:ind w:left="0"/>
        <w:jc w:val="left"/>
        <w:rPr>
          <w:lang w:val="ru-RU"/>
        </w:rPr>
      </w:pPr>
    </w:p>
    <w:p w14:paraId="0514C097" w14:textId="77777777" w:rsidR="00DA60C6" w:rsidRPr="007A6A0F" w:rsidRDefault="0045219D">
      <w:pPr>
        <w:pStyle w:val="1"/>
        <w:ind w:left="1337" w:right="1170" w:hanging="2"/>
        <w:jc w:val="center"/>
        <w:rPr>
          <w:lang w:val="ru-RU"/>
        </w:rPr>
      </w:pPr>
      <w:r w:rsidRPr="007A6A0F">
        <w:rPr>
          <w:lang w:val="ru-RU"/>
        </w:rPr>
        <w:t>СОВМЕСТНОЕ СООБЩЕНИЕ ЕВРОПЕЙСКОМУ ПАРЛАМЕНТУ, ЕВРОПЕЙСКОМУ СОВЕТУ, СОВЕТУ, ЕВРОПЕЙСКОМУ ЭКОНОМИЧЕСКОМУ И СОЦИАЛЬНОМУ КОМИТЕТУ И КОМИТЕТУ РЕГИОНОВ</w:t>
      </w:r>
    </w:p>
    <w:p w14:paraId="082D0DAB" w14:textId="77777777" w:rsidR="00DA60C6" w:rsidRPr="007A6A0F" w:rsidRDefault="00DA60C6">
      <w:pPr>
        <w:pStyle w:val="a3"/>
        <w:spacing w:before="85"/>
        <w:ind w:left="0"/>
        <w:jc w:val="left"/>
        <w:rPr>
          <w:b/>
          <w:lang w:val="ru-RU"/>
        </w:rPr>
      </w:pPr>
    </w:p>
    <w:p w14:paraId="4371FE10" w14:textId="77777777" w:rsidR="00DA60C6" w:rsidRPr="007A6A0F" w:rsidRDefault="0045219D">
      <w:pPr>
        <w:pStyle w:val="2"/>
        <w:spacing w:before="0"/>
        <w:ind w:left="167" w:firstLine="0"/>
        <w:jc w:val="center"/>
        <w:rPr>
          <w:lang w:val="ru-RU"/>
        </w:rPr>
      </w:pPr>
      <w:r w:rsidRPr="007A6A0F">
        <w:rPr>
          <w:lang w:val="ru-RU"/>
        </w:rPr>
        <w:t>о Стратегии Европейского союза готовности</w:t>
      </w:r>
    </w:p>
    <w:p w14:paraId="072C7459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4F782737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4F853B40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453EF106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1AB146CD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1DF5F53A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7FCD61DF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0530A3DF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360B5F3B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6D511D44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5BDCBACE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3DF7497A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52CAA296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42CC4975" w14:textId="77777777" w:rsidR="00DA60C6" w:rsidRPr="007A6A0F" w:rsidRDefault="00DA60C6">
      <w:pPr>
        <w:pStyle w:val="a3"/>
        <w:ind w:left="0"/>
        <w:jc w:val="left"/>
        <w:rPr>
          <w:b/>
          <w:sz w:val="48"/>
          <w:lang w:val="ru-RU"/>
        </w:rPr>
      </w:pPr>
    </w:p>
    <w:p w14:paraId="322AD5BC" w14:textId="77777777" w:rsidR="00DA60C6" w:rsidRPr="007A6A0F" w:rsidRDefault="00DA60C6">
      <w:pPr>
        <w:pStyle w:val="a3"/>
        <w:spacing w:before="44"/>
        <w:ind w:left="0"/>
        <w:jc w:val="left"/>
        <w:rPr>
          <w:b/>
          <w:sz w:val="48"/>
          <w:lang w:val="ru-RU"/>
        </w:rPr>
      </w:pPr>
    </w:p>
    <w:p w14:paraId="30566B09" w14:textId="77777777" w:rsidR="00DA60C6" w:rsidRPr="007A6A0F" w:rsidRDefault="0045219D">
      <w:pPr>
        <w:pStyle w:val="a4"/>
        <w:tabs>
          <w:tab w:val="left" w:pos="10247"/>
        </w:tabs>
        <w:rPr>
          <w:lang w:val="ru-RU"/>
        </w:rPr>
      </w:pPr>
      <w:r w:rsidRPr="007A6A0F">
        <w:rPr>
          <w:spacing w:val="-5"/>
          <w:lang w:val="ru-RU"/>
        </w:rPr>
        <w:lastRenderedPageBreak/>
        <w:t>ЭН</w:t>
      </w:r>
      <w:r w:rsidRPr="007A6A0F">
        <w:rPr>
          <w:lang w:val="ru-RU"/>
        </w:rPr>
        <w:tab/>
      </w:r>
      <w:r w:rsidRPr="007A6A0F">
        <w:rPr>
          <w:spacing w:val="-5"/>
          <w:lang w:val="ru-RU"/>
        </w:rPr>
        <w:t>ЭН</w:t>
      </w:r>
    </w:p>
    <w:p w14:paraId="7E54F4A9" w14:textId="77777777" w:rsidR="00DA60C6" w:rsidRPr="007A6A0F" w:rsidRDefault="00DA60C6">
      <w:pPr>
        <w:pStyle w:val="a4"/>
        <w:rPr>
          <w:lang w:val="ru-RU"/>
        </w:rPr>
        <w:sectPr w:rsidR="00DA60C6" w:rsidRPr="007A6A0F">
          <w:type w:val="continuous"/>
          <w:pgSz w:w="11910" w:h="16840"/>
          <w:pgMar w:top="1460" w:right="566" w:bottom="280" w:left="425" w:header="720" w:footer="720" w:gutter="0"/>
          <w:cols w:space="720"/>
        </w:sectPr>
      </w:pPr>
    </w:p>
    <w:p w14:paraId="1C3AE0AC" w14:textId="77777777" w:rsidR="00DA60C6" w:rsidRPr="007A6A0F" w:rsidRDefault="0045219D">
      <w:pPr>
        <w:pStyle w:val="2"/>
        <w:spacing w:before="60"/>
        <w:ind w:left="1015" w:firstLine="0"/>
        <w:jc w:val="left"/>
        <w:rPr>
          <w:lang w:val="ru-RU"/>
        </w:rPr>
      </w:pPr>
      <w:r w:rsidRPr="007A6A0F">
        <w:rPr>
          <w:spacing w:val="-2"/>
          <w:lang w:val="ru-RU"/>
        </w:rPr>
        <w:lastRenderedPageBreak/>
        <w:t>Знакомство</w:t>
      </w:r>
    </w:p>
    <w:p w14:paraId="19C9E1E8" w14:textId="77777777" w:rsidR="00DA60C6" w:rsidRPr="007A6A0F" w:rsidRDefault="0045219D">
      <w:pPr>
        <w:pStyle w:val="a3"/>
        <w:spacing w:before="121"/>
        <w:ind w:right="870"/>
        <w:rPr>
          <w:lang w:val="ru-RU"/>
        </w:rPr>
      </w:pPr>
      <w:r w:rsidRPr="007A6A0F">
        <w:rPr>
          <w:lang w:val="ru-RU"/>
        </w:rPr>
        <w:t>Мир и стабильность являются неотъемлемой частью европейского проекта. Тем не менее, Европа столкнулась с новой реальностью, отмеченной растущими рисками и глубокой неопределенностью. Незаконная агрессивная война России против Украины, растущая геополитическая напряженность, спонсируемые государством гибридные и кибератаки, диверсии против критически важных активов, иностранные информационные манипуляции и вмешательства, а также радиоэлектронная борьба стали постоянной чертой сегодняшней реальности. Это тревожный звонок для Европы.</w:t>
      </w:r>
    </w:p>
    <w:p w14:paraId="70EC3654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 xml:space="preserve">Пандемия </w:t>
      </w:r>
      <w:r>
        <w:t>COVID</w:t>
      </w:r>
      <w:r w:rsidRPr="007A6A0F">
        <w:rPr>
          <w:lang w:val="ru-RU"/>
        </w:rPr>
        <w:t>-19 усугубила ранее существовавшее неравенство и показала, что услуги здравоохранения и цепочки поставок ЕС, в том числе в области энергоносителей, медицинских товаров, продовольствия и критически важного сырья, могут быть серьезно нарушены. В нынешних условиях жесткой геополитической и экономической конкуренции и конфликтов они становятся все более уязвимыми для экономических манипуляций и принуждения.</w:t>
      </w:r>
    </w:p>
    <w:p w14:paraId="30ED256F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>Более того, ЕС все больше и больше подвержен последствиям изменения климата, продолжающейся деградации окружающей среды и риску дальнейших пандемий. Европа – континент, который нагревается быстрее всего. Он пережил разрушительные природные катаклизмы, от наводнений до засух и лесных пожаров, береговой эрозии, волн жары и холода и штормов. Если не решить проблему путем повышения структурной способности наших обществ управлять рисками, гуманитарные, экономические и социальные издержки изменения климата в ближайшие годы будут только возрастать, включая растущее давление со стороны негативного воздействия изменения климата в других частях мира, например, сбои в торговых путях и глобальных цепочках поставок. Климат, окружающая среда и безопасность тесно взаимосвязаны.</w:t>
      </w:r>
    </w:p>
    <w:p w14:paraId="14C1E2FA" w14:textId="77777777" w:rsidR="00DA60C6" w:rsidRPr="007A6A0F" w:rsidRDefault="0045219D">
      <w:pPr>
        <w:pStyle w:val="a3"/>
        <w:spacing w:before="121"/>
        <w:ind w:right="868"/>
        <w:rPr>
          <w:lang w:val="ru-RU"/>
        </w:rPr>
      </w:pPr>
      <w:r w:rsidRPr="007A6A0F">
        <w:rPr>
          <w:lang w:val="ru-RU"/>
        </w:rPr>
        <w:t xml:space="preserve">Европа отреагировала на эти кризисы с беспрецедентной скоростью и решимостью, продемонстрировав солидарность и стойкость. Она оперативно создала Управление по обеспечению готовности к чрезвычайным ситуациям в области здравоохранения и реагированию на них, разработала политику совместной закупки вакцин против </w:t>
      </w:r>
      <w:r>
        <w:t>COVID</w:t>
      </w:r>
      <w:r w:rsidRPr="007A6A0F">
        <w:rPr>
          <w:lang w:val="ru-RU"/>
        </w:rPr>
        <w:t xml:space="preserve">-19 и создала программы </w:t>
      </w:r>
      <w:r>
        <w:t>SURE</w:t>
      </w:r>
      <w:hyperlink w:anchor="_bookmark0" w:history="1">
        <w:r w:rsidRPr="007A6A0F">
          <w:rPr>
            <w:vertAlign w:val="superscript"/>
            <w:lang w:val="ru-RU"/>
          </w:rPr>
          <w:t>1</w:t>
        </w:r>
      </w:hyperlink>
      <w:r w:rsidRPr="007A6A0F">
        <w:rPr>
          <w:lang w:val="ru-RU"/>
        </w:rPr>
        <w:t xml:space="preserve"> и </w:t>
      </w:r>
      <w:r>
        <w:t>NextGenerationEU</w:t>
      </w:r>
      <w:r w:rsidRPr="007A6A0F">
        <w:rPr>
          <w:lang w:val="ru-RU"/>
        </w:rPr>
        <w:t xml:space="preserve"> для устранения его экономических и социальных последствий. Комиссия возглавила работу по смягчению резкого роста цен на энергоносители и обеспечению надежности поставок, в том числе с помощью инновационных транспортных решений. Миллионы украинских беженцев нашли приют и гостеприимство в ЕС. Европейские инструменты, такие как Механизм гражданской защиты ЕС (</w:t>
      </w:r>
      <w:r>
        <w:t>UCPM</w:t>
      </w:r>
      <w:r w:rsidRPr="007A6A0F">
        <w:rPr>
          <w:lang w:val="ru-RU"/>
        </w:rPr>
        <w:t>) и Стратегический резерв ЕС по реагированию на стихийные бедствия в Европе (</w:t>
      </w:r>
      <w:r>
        <w:t>rescEU</w:t>
      </w:r>
      <w:r w:rsidRPr="007A6A0F">
        <w:rPr>
          <w:lang w:val="ru-RU"/>
        </w:rPr>
        <w:t>), продемонстрировали свою добавленную стоимость.</w:t>
      </w:r>
    </w:p>
    <w:p w14:paraId="6D2D4784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>Ни один из крупных кризисов последних лет не был изолированным или кратковременным. Они являются частью более широкой тенденции, обусловленной долгосрочными политическими, экономическими, климатическими, экологическими и технологическими изменениями. Европа не может позволить себе оставаться в состоянии реагирования.</w:t>
      </w:r>
    </w:p>
    <w:p w14:paraId="7D1D83B8" w14:textId="77777777" w:rsidR="00DA60C6" w:rsidRPr="007A6A0F" w:rsidRDefault="0045219D">
      <w:pPr>
        <w:pStyle w:val="a3"/>
        <w:spacing w:before="121"/>
        <w:ind w:right="868"/>
        <w:rPr>
          <w:lang w:val="ru-RU"/>
        </w:rPr>
      </w:pPr>
      <w:r w:rsidRPr="007A6A0F">
        <w:rPr>
          <w:lang w:val="ru-RU"/>
        </w:rPr>
        <w:t>В докладе Ниинистё о готовности и готовности ЕС-2</w:t>
      </w:r>
      <w:hyperlink w:anchor="_bookmark1" w:history="1"/>
      <w:r w:rsidRPr="007A6A0F">
        <w:rPr>
          <w:lang w:val="ru-RU"/>
        </w:rPr>
        <w:t xml:space="preserve"> сделан вывод о том, что укрепление гражданской и военной готовности Европы к решению сегодняшних растущих вызовов и будущих кризисов является неотложной задачей. В докладе содержится призыв к глубокому изменению мышления и признание того, что готовность является не только национальной ответственностью, но и общим европейским стремлением, требующим более сильной роли Союза в координации и поддержке </w:t>
      </w:r>
      <w:hyperlink w:anchor="_bookmark2" w:history="1">
        <w:r w:rsidRPr="007A6A0F">
          <w:rPr>
            <w:lang w:val="ru-RU"/>
          </w:rPr>
          <w:t>государств-членов.</w:t>
        </w:r>
        <w:r w:rsidRPr="007A6A0F">
          <w:rPr>
            <w:vertAlign w:val="superscript"/>
            <w:lang w:val="ru-RU"/>
          </w:rPr>
          <w:t>3</w:t>
        </w:r>
      </w:hyperlink>
      <w:r w:rsidRPr="007A6A0F">
        <w:rPr>
          <w:lang w:val="ru-RU"/>
        </w:rPr>
        <w:t xml:space="preserve"> Настоящая Стратегия основывается на докладе </w:t>
      </w:r>
      <w:r w:rsidRPr="007A6A0F">
        <w:rPr>
          <w:lang w:val="ru-RU"/>
        </w:rPr>
        <w:lastRenderedPageBreak/>
        <w:t>Ниинистё и представляет собой план действий по созданию Союза готовности.</w:t>
      </w:r>
    </w:p>
    <w:p w14:paraId="705311EB" w14:textId="77777777" w:rsidR="00DA60C6" w:rsidRPr="007A6A0F" w:rsidRDefault="00DA60C6">
      <w:pPr>
        <w:pStyle w:val="a3"/>
        <w:ind w:left="0"/>
        <w:jc w:val="left"/>
        <w:rPr>
          <w:sz w:val="20"/>
          <w:lang w:val="ru-RU"/>
        </w:rPr>
      </w:pPr>
    </w:p>
    <w:p w14:paraId="3DE349C0" w14:textId="77777777" w:rsidR="00DA60C6" w:rsidRPr="007A6A0F" w:rsidRDefault="00DA60C6">
      <w:pPr>
        <w:pStyle w:val="a3"/>
        <w:ind w:left="0"/>
        <w:jc w:val="left"/>
        <w:rPr>
          <w:sz w:val="20"/>
          <w:lang w:val="ru-RU"/>
        </w:rPr>
      </w:pPr>
    </w:p>
    <w:p w14:paraId="53911B72" w14:textId="77777777" w:rsidR="00DA60C6" w:rsidRPr="007A6A0F" w:rsidRDefault="00DA60C6">
      <w:pPr>
        <w:pStyle w:val="a3"/>
        <w:ind w:left="0"/>
        <w:jc w:val="left"/>
        <w:rPr>
          <w:sz w:val="20"/>
          <w:lang w:val="ru-RU"/>
        </w:rPr>
      </w:pPr>
    </w:p>
    <w:p w14:paraId="00D6D64F" w14:textId="77777777" w:rsidR="00DA60C6" w:rsidRPr="007A6A0F" w:rsidRDefault="00DA60C6">
      <w:pPr>
        <w:pStyle w:val="a3"/>
        <w:ind w:left="0"/>
        <w:jc w:val="left"/>
        <w:rPr>
          <w:sz w:val="20"/>
          <w:lang w:val="ru-RU"/>
        </w:rPr>
      </w:pPr>
    </w:p>
    <w:p w14:paraId="4CE84BC5" w14:textId="77777777" w:rsidR="00DA60C6" w:rsidRPr="007A6A0F" w:rsidRDefault="00DA60C6">
      <w:pPr>
        <w:pStyle w:val="a3"/>
        <w:ind w:left="0"/>
        <w:jc w:val="left"/>
        <w:rPr>
          <w:sz w:val="20"/>
          <w:lang w:val="ru-RU"/>
        </w:rPr>
      </w:pPr>
    </w:p>
    <w:p w14:paraId="06AFB1D1" w14:textId="77777777" w:rsidR="00DA60C6" w:rsidRPr="007A6A0F" w:rsidRDefault="0045219D">
      <w:pPr>
        <w:pStyle w:val="a3"/>
        <w:spacing w:before="193"/>
        <w:ind w:left="0"/>
        <w:jc w:val="left"/>
        <w:rPr>
          <w:sz w:val="20"/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576376" wp14:editId="3B8F6D93">
                <wp:simplePos x="0" y="0"/>
                <wp:positionH relativeFrom="page">
                  <wp:posOffset>914704</wp:posOffset>
                </wp:positionH>
                <wp:positionV relativeFrom="paragraph">
                  <wp:posOffset>284218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431F4" id="Graphic 3" o:spid="_x0000_s1026" style="position:absolute;margin-left:1in;margin-top:22.4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LpZhiv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45576D" w14:textId="77777777" w:rsidR="00DA60C6" w:rsidRPr="007A6A0F" w:rsidRDefault="0045219D">
      <w:pPr>
        <w:spacing w:before="221"/>
        <w:ind w:left="1015"/>
        <w:rPr>
          <w:sz w:val="20"/>
          <w:lang w:val="ru-RU"/>
        </w:rPr>
      </w:pPr>
      <w:bookmarkStart w:id="0" w:name="_bookmark0"/>
      <w:bookmarkEnd w:id="0"/>
      <w:r w:rsidRPr="007A6A0F">
        <w:rPr>
          <w:sz w:val="20"/>
          <w:vertAlign w:val="superscript"/>
          <w:lang w:val="ru-RU"/>
        </w:rPr>
        <w:t xml:space="preserve">1 </w:t>
      </w:r>
      <w:r w:rsidRPr="007A6A0F">
        <w:rPr>
          <w:sz w:val="20"/>
          <w:lang w:val="ru-RU"/>
        </w:rPr>
        <w:t>Временная поддержка для снижения рисков безработицы в чрезвычайных ситуациях и чрезвычайная ситуация</w:t>
      </w:r>
    </w:p>
    <w:p w14:paraId="0837A26E" w14:textId="77777777" w:rsidR="00DA60C6" w:rsidRPr="007A6A0F" w:rsidRDefault="0045219D">
      <w:pPr>
        <w:ind w:left="1015"/>
        <w:rPr>
          <w:sz w:val="20"/>
          <w:lang w:val="ru-RU"/>
        </w:rPr>
      </w:pPr>
      <w:bookmarkStart w:id="1" w:name="_bookmark1"/>
      <w:bookmarkEnd w:id="1"/>
      <w:r w:rsidRPr="007A6A0F">
        <w:rPr>
          <w:sz w:val="20"/>
          <w:vertAlign w:val="superscript"/>
          <w:lang w:val="ru-RU"/>
        </w:rPr>
        <w:t xml:space="preserve">2 </w:t>
      </w:r>
      <w:hyperlink r:id="rId8">
        <w:r w:rsidRPr="007A6A0F">
          <w:rPr>
            <w:color w:val="467885"/>
            <w:sz w:val="20"/>
            <w:u w:val="single" w:color="467885"/>
            <w:lang w:val="ru-RU"/>
          </w:rPr>
          <w:t>Вместе безопаснее –</w:t>
        </w:r>
      </w:hyperlink>
      <w:r w:rsidRPr="007A6A0F">
        <w:rPr>
          <w:color w:val="467885"/>
          <w:spacing w:val="-4"/>
          <w:sz w:val="20"/>
          <w:lang w:val="ru-RU"/>
        </w:rPr>
        <w:t xml:space="preserve"> </w:t>
      </w:r>
      <w:r w:rsidRPr="007A6A0F">
        <w:rPr>
          <w:sz w:val="20"/>
          <w:lang w:val="ru-RU"/>
        </w:rPr>
        <w:t xml:space="preserve"> укрепление гражданской и военной готовности Европы</w:t>
      </w:r>
    </w:p>
    <w:p w14:paraId="595F016B" w14:textId="77777777" w:rsidR="00DA60C6" w:rsidRPr="007A6A0F" w:rsidRDefault="0045219D">
      <w:pPr>
        <w:spacing w:before="1"/>
        <w:ind w:left="1015" w:right="868"/>
        <w:rPr>
          <w:sz w:val="20"/>
          <w:lang w:val="ru-RU"/>
        </w:rPr>
      </w:pPr>
      <w:bookmarkStart w:id="2" w:name="_bookmark2"/>
      <w:bookmarkEnd w:id="2"/>
      <w:r w:rsidRPr="007A6A0F">
        <w:rPr>
          <w:sz w:val="20"/>
          <w:vertAlign w:val="superscript"/>
          <w:lang w:val="ru-RU"/>
        </w:rPr>
        <w:t xml:space="preserve">3 </w:t>
      </w:r>
      <w:r w:rsidRPr="007A6A0F">
        <w:rPr>
          <w:sz w:val="20"/>
          <w:lang w:val="ru-RU"/>
        </w:rPr>
        <w:t>Настоящая Стратегия также основывается на Стратегической повестке дня ЕС на 2024-2029 годы и выводах Европейского совета от июня 2023 года, марта 2024 года и декабря 2024 года, а также на Политических руководящих принципах Комиссии на 2024-2029 годы.</w:t>
      </w:r>
    </w:p>
    <w:p w14:paraId="2CC64D33" w14:textId="77777777" w:rsidR="00DA60C6" w:rsidRPr="007A6A0F" w:rsidRDefault="00DA60C6">
      <w:pPr>
        <w:rPr>
          <w:sz w:val="20"/>
          <w:lang w:val="ru-RU"/>
        </w:rPr>
        <w:sectPr w:rsidR="00DA60C6" w:rsidRPr="007A6A0F">
          <w:footerReference w:type="default" r:id="rId9"/>
          <w:pgSz w:w="11910" w:h="16840"/>
          <w:pgMar w:top="1360" w:right="566" w:bottom="920" w:left="425" w:header="0" w:footer="727" w:gutter="0"/>
          <w:pgNumType w:start="1"/>
          <w:cols w:space="720"/>
        </w:sectPr>
      </w:pPr>
    </w:p>
    <w:p w14:paraId="4E8C6383" w14:textId="77777777" w:rsidR="00DA60C6" w:rsidRDefault="0045219D">
      <w:pPr>
        <w:pStyle w:val="2"/>
        <w:spacing w:before="60"/>
        <w:ind w:left="1015" w:firstLine="0"/>
      </w:pPr>
      <w:r>
        <w:lastRenderedPageBreak/>
        <w:t>Почему нам нужен Союз готовности</w:t>
      </w:r>
    </w:p>
    <w:p w14:paraId="7AD26517" w14:textId="77777777" w:rsidR="00DA60C6" w:rsidRDefault="0045219D">
      <w:pPr>
        <w:pStyle w:val="a3"/>
        <w:spacing w:before="121"/>
        <w:ind w:right="871"/>
      </w:pPr>
      <w:r>
        <w:t>Со временем ЕС разработал и укрепил свои многочисленные инструменты для повышения структурной устойчивости для борьбы с некоторыми видами рисков и реагирования на кризисы в ряде секторов. Тем не менее, опыт выявил ряд недостатков в рамках обеспечения готовности ЕС.</w:t>
      </w:r>
    </w:p>
    <w:p w14:paraId="747D0EA6" w14:textId="77777777" w:rsidR="00DA60C6" w:rsidRDefault="0045219D">
      <w:pPr>
        <w:pStyle w:val="a3"/>
        <w:spacing w:before="120"/>
        <w:ind w:right="867"/>
      </w:pPr>
      <w:r>
        <w:rPr>
          <w:i/>
        </w:rPr>
        <w:t>Во-первых</w:t>
      </w:r>
      <w:r>
        <w:t>, кризисное регулирование в ЕС в основном является реактивным, а не проактивным. В том числе это связано с недостаточным использованием инструментов стратегического прогнозирования, прогнозирования и раннего предупреждения. Отсутствует комплексная оценка рисков, угроз и их каскадных последствий, в том числе из-за пределов Союза.</w:t>
      </w:r>
    </w:p>
    <w:p w14:paraId="7CA7FAB3" w14:textId="77777777" w:rsidR="00DA60C6" w:rsidRDefault="0045219D">
      <w:pPr>
        <w:pStyle w:val="a3"/>
        <w:spacing w:before="120"/>
        <w:ind w:right="870"/>
      </w:pPr>
      <w:r>
        <w:rPr>
          <w:i/>
        </w:rPr>
        <w:t>Во-вторых</w:t>
      </w:r>
      <w:r>
        <w:t>, инструментарий ЕС по урегулированию кризисов раздроблен по различным институтам, службам и агентствам и страдает от пробелов в отраслевой и трансграничной координации. Существует дефицит координации между гражданскими и военными, и связь между внутренними и внешними действиями ЕС нуждается в усилении.</w:t>
      </w:r>
    </w:p>
    <w:p w14:paraId="5349A3BB" w14:textId="77777777" w:rsidR="00DA60C6" w:rsidRDefault="0045219D">
      <w:pPr>
        <w:pStyle w:val="a3"/>
        <w:spacing w:before="120"/>
        <w:ind w:right="872"/>
      </w:pPr>
      <w:r>
        <w:rPr>
          <w:i/>
        </w:rPr>
        <w:t>В-третьих</w:t>
      </w:r>
      <w:r>
        <w:t>, существующие структуры и механизмы на уровне ЕС имеют ограничения по масштабам и ресурсам. Реагирование на кризис обусловлено ограниченным участием всего общества, в том числе с частным сектором. Отсутствует гибкость в механизмах финансирования Союза и недостаточная стратегическая согласованность национальных бюджетов.</w:t>
      </w:r>
    </w:p>
    <w:p w14:paraId="4B1B1CC4" w14:textId="77777777" w:rsidR="00DA60C6" w:rsidRDefault="0045219D">
      <w:pPr>
        <w:pStyle w:val="a3"/>
        <w:spacing w:before="121"/>
        <w:ind w:right="870"/>
      </w:pPr>
      <w:r>
        <w:t>Союз готовности будет приносить дополнительную пользу действиям государств-членов, в частности, дополняя национальные усилия, улучшая координацию и эффективность, а также способствуя формированию культуры готовности и устойчивости при полном уважении субсидиарности, национальных компетенций и специфики государств-членов. Он поддерживает обязательство государств-членов действовать в духе солидарности и помогать друг другу во всех видах кризисов в соответствии со статьей 222 TFEU</w:t>
      </w:r>
      <w:hyperlink w:anchor="_bookmark3" w:history="1">
        <w:r>
          <w:rPr>
            <w:vertAlign w:val="superscript"/>
          </w:rPr>
          <w:t>4</w:t>
        </w:r>
      </w:hyperlink>
      <w:r>
        <w:t>.</w:t>
      </w:r>
    </w:p>
    <w:p w14:paraId="6A2B7141" w14:textId="77777777" w:rsidR="00DA60C6" w:rsidRDefault="0045219D">
      <w:pPr>
        <w:pStyle w:val="a3"/>
        <w:spacing w:before="120"/>
        <w:ind w:right="867"/>
      </w:pPr>
      <w:r>
        <w:t>Общая цель Союза готовности заключается в создании безопасного и устойчивого ЕС, обладающего возможностями, необходимыми для прогнозирования и управления угрозами и опасностями, независимо от их характера или происхождения, чтобы обеспечить европейским гражданам надлежащую защиту и готовность, а также сохранить жизненно важные функции общества при любых обстоятельствах. Это требует нового мышления о готовности. Повышение осведомленности и расширение прав и возможностей всех заинтересованных сторон, включая граждан, для заботы о своей индивидуальной и коллективной готовности имеет решающее значение.</w:t>
      </w:r>
    </w:p>
    <w:p w14:paraId="1FA4B397" w14:textId="77777777" w:rsidR="00DA60C6" w:rsidRDefault="0045219D">
      <w:pPr>
        <w:pStyle w:val="a3"/>
        <w:spacing w:before="120"/>
        <w:ind w:right="868"/>
      </w:pPr>
      <w:r>
        <w:t>Более подготовленная Европа требует более тесной координации между государствами-членами, а также другими заинтересованными сторонами и международными партнерами, особенно партнерами по расширению и соседству, чья готовность и устойчивость имеют решающее значение для нашей собственной безопасности. Сектор исследований и инноваций ЕС должен внести существенный вклад, позволяя постоянно адаптироваться, оптимизировать и реагировать на кризисы по последнему слову техники. Сектор исследований и инноваций должен инвестировать в осведомленность и устойчивость к рискам безопасности и гибридным угрозам, в том числе при международном сотрудничестве.</w:t>
      </w:r>
    </w:p>
    <w:p w14:paraId="0C8A6DB1" w14:textId="77777777" w:rsidR="00DA60C6" w:rsidRDefault="0045219D">
      <w:pPr>
        <w:pStyle w:val="2"/>
        <w:spacing w:before="121"/>
        <w:ind w:left="1015" w:firstLine="0"/>
      </w:pPr>
      <w:r>
        <w:t>Как мы строим Союз готовности</w:t>
      </w:r>
    </w:p>
    <w:p w14:paraId="359EDDDE" w14:textId="77777777" w:rsidR="00DA60C6" w:rsidRDefault="0045219D">
      <w:pPr>
        <w:pStyle w:val="a3"/>
        <w:spacing w:before="120"/>
        <w:ind w:right="871"/>
      </w:pPr>
      <w:r>
        <w:t>Для устранения существующих недостатков в действиях ЕС и продвижения к реальному Союзу готовности, Стратегия основывается на следующих принципах:</w:t>
      </w:r>
    </w:p>
    <w:p w14:paraId="2AB25AD4" w14:textId="77777777" w:rsidR="00DA60C6" w:rsidRDefault="0045219D">
      <w:pPr>
        <w:spacing w:before="128" w:line="230" w:lineRule="auto"/>
        <w:ind w:left="1941" w:right="872" w:hanging="360"/>
        <w:jc w:val="both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086B73BA" wp14:editId="1D435973">
            <wp:extent cx="170687" cy="1798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rPr>
          <w:sz w:val="24"/>
        </w:rPr>
        <w:t xml:space="preserve">Комплексный </w:t>
      </w:r>
      <w:r>
        <w:rPr>
          <w:b/>
          <w:sz w:val="24"/>
        </w:rPr>
        <w:t>подход, учитывающий все опасности</w:t>
      </w:r>
      <w:r>
        <w:rPr>
          <w:sz w:val="24"/>
        </w:rPr>
        <w:t xml:space="preserve">, который охватывает </w:t>
      </w:r>
      <w:r>
        <w:rPr>
          <w:sz w:val="24"/>
        </w:rPr>
        <w:lastRenderedPageBreak/>
        <w:t>весь спектр природных и антропогенных рисков и угроз и объединяет все имеющиеся инструменты.</w:t>
      </w:r>
    </w:p>
    <w:p w14:paraId="17532DF1" w14:textId="77777777" w:rsidR="00DA60C6" w:rsidRDefault="0045219D">
      <w:pPr>
        <w:pStyle w:val="a3"/>
        <w:spacing w:before="6" w:line="235" w:lineRule="auto"/>
        <w:ind w:left="1941" w:right="873" w:hanging="360"/>
      </w:pPr>
      <w:r>
        <w:rPr>
          <w:noProof/>
          <w:position w:val="-5"/>
        </w:rPr>
        <w:drawing>
          <wp:inline distT="0" distB="0" distL="0" distR="0" wp14:anchorId="3BCB5111" wp14:editId="01F1CD2D">
            <wp:extent cx="170687" cy="1798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sz w:val="20"/>
        </w:rPr>
        <w:t xml:space="preserve"> </w:t>
      </w:r>
      <w:r>
        <w:t xml:space="preserve">Общегосударственный </w:t>
      </w:r>
      <w:r>
        <w:rPr>
          <w:b/>
        </w:rPr>
        <w:t>подход</w:t>
      </w:r>
      <w:r>
        <w:t>, объединяющий всех заинтересованных сторон на всех уровнях государственного управления (местном, региональном, национальном и ЕС), способствует сотрудничеству, согласованности политики и совместному использованию ресурсов. Он направлен на решение всестороннего</w:t>
      </w:r>
    </w:p>
    <w:p w14:paraId="6D162F7E" w14:textId="77777777" w:rsidR="00DA60C6" w:rsidRDefault="0045219D">
      <w:pPr>
        <w:pStyle w:val="a3"/>
        <w:spacing w:before="9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8DC37" wp14:editId="5004EB8B">
                <wp:simplePos x="0" y="0"/>
                <wp:positionH relativeFrom="page">
                  <wp:posOffset>914704</wp:posOffset>
                </wp:positionH>
                <wp:positionV relativeFrom="paragraph">
                  <wp:posOffset>152684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ADB53" id="Graphic 6" o:spid="_x0000_s1026" style="position:absolute;margin-left:1in;margin-top:12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nptbt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28F6C7" w14:textId="77777777" w:rsidR="00DA60C6" w:rsidRDefault="0045219D">
      <w:pPr>
        <w:spacing w:before="223"/>
        <w:ind w:left="1015" w:right="868"/>
        <w:rPr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4</w:t>
      </w:r>
      <w:r>
        <w:rPr>
          <w:sz w:val="20"/>
        </w:rPr>
        <w:t xml:space="preserve"> "Союз и его государства-члены действуют совместно в духе солидарности, если государство-член является объектом террористического нападения или жертвой стихийного бедствия или техногенного бедствия (...)"</w:t>
      </w:r>
    </w:p>
    <w:p w14:paraId="498FE977" w14:textId="77777777" w:rsidR="00DA60C6" w:rsidRDefault="00DA60C6">
      <w:pPr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30FC4469" w14:textId="77777777" w:rsidR="00DA60C6" w:rsidRDefault="0045219D">
      <w:pPr>
        <w:pStyle w:val="a3"/>
        <w:spacing w:before="60"/>
        <w:ind w:left="1941" w:right="871"/>
      </w:pPr>
      <w:r>
        <w:lastRenderedPageBreak/>
        <w:t>увеличение рисков и угроз, их взаимодействие и каскадные эффекты. Она включает в себя эффективное сотрудничество между гражданскими и оборонными властями, а также последовательную интеграцию внутренних и внешних измерений.</w:t>
      </w:r>
    </w:p>
    <w:p w14:paraId="58D9433D" w14:textId="77777777" w:rsidR="00DA60C6" w:rsidRDefault="0045219D">
      <w:pPr>
        <w:pStyle w:val="a3"/>
        <w:spacing w:before="5" w:line="235" w:lineRule="auto"/>
        <w:ind w:left="1941" w:right="870" w:hanging="360"/>
      </w:pPr>
      <w:r>
        <w:rPr>
          <w:noProof/>
          <w:position w:val="-5"/>
        </w:rPr>
        <w:drawing>
          <wp:inline distT="0" distB="0" distL="0" distR="0" wp14:anchorId="67CD21DD" wp14:editId="43990A7B">
            <wp:extent cx="170687" cy="17983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Общесоциальный </w:t>
      </w:r>
      <w:r>
        <w:rPr>
          <w:b/>
        </w:rPr>
        <w:t>подход</w:t>
      </w:r>
      <w:r>
        <w:t>, способствующий формированию инклюзивной культуры готовности и устойчивости с участием граждан, местных сообществ и гражданского общества, деловых кругов и социальных партнеров, а также научных и академических кругов.</w:t>
      </w:r>
    </w:p>
    <w:p w14:paraId="21F565DC" w14:textId="77777777" w:rsidR="00DA60C6" w:rsidRDefault="0045219D">
      <w:pPr>
        <w:pStyle w:val="a3"/>
        <w:spacing w:before="120"/>
        <w:ind w:right="867"/>
      </w:pPr>
      <w:r>
        <w:t>Надежная готовность не дается бесплатно. Инвестиции в обеспечение готовности сопряжены с затратами, но они перевешиваются долгосрочными достижениями в области устойчивости, сокращением сбоев, снижением затрат на восстановление и долгосрочной конкурентоспособностью. Финансирование на уровне ЕС должно осуществляться гибко, масштабируемо и быть направленным на устранение всех опасностей, чтобы позволить Союзу действовать своевременно и солидарно на всех этапах кризиса, в полном соответствии с соответствующими обязанностями ЕС и государств-членов. В этом отношении учет соображений готовности и устойчивости в бюджетных программах ЕС с самого начала может помочь снизить уязвимость и подверженность рискам, снижая затраты на корректирующие действия.</w:t>
      </w:r>
    </w:p>
    <w:p w14:paraId="5E517592" w14:textId="77777777" w:rsidR="00DA60C6" w:rsidRDefault="0045219D">
      <w:pPr>
        <w:pStyle w:val="a3"/>
        <w:spacing w:before="120"/>
        <w:ind w:right="871"/>
      </w:pPr>
      <w:r>
        <w:t>Для создания Союза готовности в соответствии с этими принципами Стратегия основывается на Целях 5 по обеспечению устойчивости к стихийным бедствиям</w:t>
      </w:r>
      <w:hyperlink w:anchor="_bookmark4" w:history="1"/>
      <w:r>
        <w:t xml:space="preserve"> в отношении прогнозирования, подготовки, оповещения, реагирования и обеспечения безопасности. В нем предлагаются действия по семи направлениям:</w:t>
      </w:r>
    </w:p>
    <w:p w14:paraId="76185B45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line="293" w:lineRule="exact"/>
        <w:jc w:val="left"/>
        <w:rPr>
          <w:sz w:val="24"/>
        </w:rPr>
      </w:pPr>
      <w:r>
        <w:rPr>
          <w:sz w:val="24"/>
        </w:rPr>
        <w:t>Предвидение и предвидение</w:t>
      </w:r>
    </w:p>
    <w:p w14:paraId="1F72623A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>Устойчивость жизненно важных функций общества</w:t>
      </w:r>
    </w:p>
    <w:p w14:paraId="022EFDCD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>Готовность населения</w:t>
      </w:r>
    </w:p>
    <w:p w14:paraId="5FCB53D3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>Государственно-частное сотрудничество</w:t>
      </w:r>
    </w:p>
    <w:p w14:paraId="165BA1E5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Военно-гражданское сотрудничество</w:t>
      </w:r>
    </w:p>
    <w:p w14:paraId="545E894F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>Координация антикризисного реагирования</w:t>
      </w:r>
    </w:p>
    <w:p w14:paraId="49C6819A" w14:textId="77777777" w:rsidR="00DA60C6" w:rsidRDefault="0045219D">
      <w:pPr>
        <w:pStyle w:val="a5"/>
        <w:numPr>
          <w:ilvl w:val="0"/>
          <w:numId w:val="3"/>
        </w:numPr>
        <w:tabs>
          <w:tab w:val="left" w:pos="1735"/>
        </w:tabs>
        <w:spacing w:before="1"/>
        <w:jc w:val="left"/>
        <w:rPr>
          <w:sz w:val="24"/>
        </w:rPr>
      </w:pPr>
      <w:r>
        <w:rPr>
          <w:sz w:val="24"/>
        </w:rPr>
        <w:t>Устойчивость благодаря внешнему партнерству</w:t>
      </w:r>
    </w:p>
    <w:p w14:paraId="5F66CBFB" w14:textId="77777777" w:rsidR="00DA60C6" w:rsidRDefault="0045219D">
      <w:pPr>
        <w:pStyle w:val="a3"/>
        <w:spacing w:before="117"/>
        <w:ind w:right="875"/>
      </w:pPr>
      <w:r>
        <w:t>В Стратегии изложены 30 ключевых действий, направленных на достижение одной или нескольких целей в вышеуказанных областях, и к ней прилагается план действий (см. Приложение).</w:t>
      </w:r>
    </w:p>
    <w:p w14:paraId="05AC50A0" w14:textId="77777777" w:rsidR="00DA60C6" w:rsidRDefault="0045219D">
      <w:pPr>
        <w:pStyle w:val="a3"/>
        <w:spacing w:before="121"/>
        <w:ind w:right="867"/>
      </w:pPr>
      <w:r>
        <w:t>Эта Стратегия дополняет и дополняет другие ключевые инициативы ЕС, в частности, Стратегию внутренней безопасности, Белую книгу по европейской оборонной готовности до 2030 года, Европейский план адаптации к изменению климата, Закон о важнейших лекарственных средствах, Соглашение о чистой промышленности, Европейский пакт об океане, Европейский щит демократии, Союз навыков и Союз равенства.</w:t>
      </w:r>
    </w:p>
    <w:p w14:paraId="3E9DC7F1" w14:textId="77777777" w:rsidR="00DA60C6" w:rsidRDefault="00DA60C6">
      <w:pPr>
        <w:pStyle w:val="a3"/>
        <w:spacing w:before="240"/>
        <w:ind w:left="0"/>
        <w:jc w:val="left"/>
      </w:pPr>
    </w:p>
    <w:p w14:paraId="460C3CC5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ind w:left="1734" w:hanging="359"/>
      </w:pPr>
      <w:r>
        <w:t>ПРЕДВИДЕНИЕ И ПРЕДВИДЕНИЕ</w:t>
      </w:r>
    </w:p>
    <w:p w14:paraId="5E8431B3" w14:textId="77777777" w:rsidR="00DA60C6" w:rsidRDefault="0045219D">
      <w:pPr>
        <w:pStyle w:val="a3"/>
        <w:spacing w:before="120"/>
        <w:ind w:right="870"/>
      </w:pPr>
      <w:r>
        <w:t>Время имеет существенное значение не только для острых кризисов, но и для их предчувствия. Стратегическое прогнозирование, ситуационная осведомленность и раннее предупреждение имеют ключевое значение и должны быть еще более укреплены. Раннее выявление рисков и угроз может выиграть драгоценное время и помочь предотвратить кризисы или облегчить управление ими и свести к минимуму их последствия. Важнейшее значение имеют межсекторальные оценки рисков на уровне ЕС, основанные на фактических данных, основанные на научных рекомендациях и сопровождаемые регулярными стресс-тестами и оценками угроз.</w:t>
      </w:r>
    </w:p>
    <w:p w14:paraId="10737B98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39592859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2C6DA5AA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0579419B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17D6786E" w14:textId="77777777" w:rsidR="00DA60C6" w:rsidRDefault="0045219D">
      <w:pPr>
        <w:pStyle w:val="a3"/>
        <w:spacing w:before="1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33D970" wp14:editId="1D2985D7">
                <wp:simplePos x="0" y="0"/>
                <wp:positionH relativeFrom="page">
                  <wp:posOffset>914704</wp:posOffset>
                </wp:positionH>
                <wp:positionV relativeFrom="paragraph">
                  <wp:posOffset>171341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2421F" id="Graphic 8" o:spid="_x0000_s1026" style="position:absolute;margin-left:1in;margin-top:13.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qn+YB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6D261" w14:textId="77777777" w:rsidR="00DA60C6" w:rsidRDefault="0045219D">
      <w:pPr>
        <w:spacing w:before="223"/>
        <w:ind w:left="1015" w:right="868"/>
        <w:rPr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 xml:space="preserve">5 </w:t>
      </w:r>
      <w:r>
        <w:rPr>
          <w:sz w:val="20"/>
        </w:rPr>
        <w:t>европейских целей по обеспечению устойчивости к стихийным бедствиям - Европейская комиссия</w:t>
      </w:r>
      <w:hyperlink r:id="rId11">
        <w:r>
          <w:rPr>
            <w:color w:val="467885"/>
            <w:sz w:val="20"/>
            <w:u w:val="single" w:color="467885"/>
          </w:rPr>
          <w:t>: https://civil-protection-humanitarian-aid.ec.europa.eu/what/civil-protection/european-disaster-risk-management/european-disaster-resilience-goals_en</w:t>
        </w:r>
      </w:hyperlink>
      <w:r>
        <w:rPr>
          <w:color w:val="467885"/>
          <w:spacing w:val="40"/>
          <w:sz w:val="20"/>
        </w:rPr>
        <w:t xml:space="preserve"> </w:t>
      </w:r>
      <w:hyperlink r:id="rId12"/>
      <w:r>
        <w:rPr>
          <w:color w:val="467885"/>
          <w:spacing w:val="80"/>
          <w:w w:val="150"/>
          <w:sz w:val="20"/>
        </w:rPr>
        <w:t xml:space="preserve">  </w:t>
      </w:r>
      <w:hyperlink r:id="rId13"/>
    </w:p>
    <w:p w14:paraId="6151927A" w14:textId="77777777" w:rsidR="00DA60C6" w:rsidRDefault="00DA60C6">
      <w:pPr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116D37DA" w14:textId="77777777" w:rsidR="00DA60C6" w:rsidRDefault="0045219D">
      <w:pPr>
        <w:pStyle w:val="a3"/>
        <w:spacing w:before="60"/>
        <w:ind w:right="869"/>
      </w:pPr>
      <w:r>
        <w:lastRenderedPageBreak/>
        <w:t>Возможности ЕС должны включать в себя полностью совместимые, сквозные и многосторонние системы раннего предупреждения об опасностях, подкрепленные своевременными и надежными данными, чтобы лучше информировать лиц, принимающих решения, о рисках и их потенциальных взаимосвязанных последствиях.</w:t>
      </w:r>
    </w:p>
    <w:p w14:paraId="26045E65" w14:textId="77777777" w:rsidR="00DA60C6" w:rsidRDefault="0045219D">
      <w:pPr>
        <w:pStyle w:val="a3"/>
        <w:spacing w:before="121"/>
        <w:ind w:right="868"/>
      </w:pPr>
      <w:r>
        <w:t>Подход, основанный на учете всех опасностей для объединения оценок рисков и угроз, должен обеспечивать практическую информацию для принятия решений, обеспечивая устойчивые действия ЕС по сдерживанию и более эффективному реагированию на угрозы. Это должно согласовывать оценки рисков на национальном уровне и на уровне ЕС, объединяя данные и экспертный анализ в межсекторальный и трансграничный подход.</w:t>
      </w:r>
    </w:p>
    <w:p w14:paraId="10A60503" w14:textId="77777777" w:rsidR="00DA60C6" w:rsidRDefault="0045219D">
      <w:pPr>
        <w:pStyle w:val="a3"/>
        <w:spacing w:before="120"/>
        <w:ind w:right="869"/>
      </w:pPr>
      <w:r>
        <w:t>Система систематической оценки, стресс-тестов и обучения должна стать краеугольным камнем культуры постоянного совершенствования. Регулярные проверки на пригодность механизмов, инструментов и инструментов кризисного управления ЕС должны: (i) обеспечить их пригодность и согласованность; (ii) обеспечить возможность выявления передового опыта, а также пробелов и дублирования; и (iii) способствовать максимальному синергетическому эффекту и эффективности.</w:t>
      </w:r>
    </w:p>
    <w:p w14:paraId="4C1B0008" w14:textId="77777777" w:rsidR="00DA60C6" w:rsidRDefault="0045219D">
      <w:pPr>
        <w:pStyle w:val="2"/>
        <w:ind w:left="1015" w:firstLine="0"/>
      </w:pPr>
      <w:r>
        <w:t>Ключевые действия</w:t>
      </w:r>
    </w:p>
    <w:p w14:paraId="42DD18BC" w14:textId="77777777" w:rsidR="00DA60C6" w:rsidRDefault="0045219D">
      <w:pPr>
        <w:pStyle w:val="a5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  <w:rPr>
          <w:b/>
          <w:sz w:val="24"/>
        </w:rPr>
      </w:pPr>
      <w:r>
        <w:rPr>
          <w:b/>
          <w:sz w:val="24"/>
        </w:rPr>
        <w:t>Разработка комплексной оценки рисков и угроз ЕС</w:t>
      </w:r>
    </w:p>
    <w:p w14:paraId="370AB85E" w14:textId="77777777" w:rsidR="00DA60C6" w:rsidRDefault="0045219D">
      <w:pPr>
        <w:pStyle w:val="a3"/>
        <w:spacing w:before="120"/>
        <w:ind w:right="869"/>
      </w:pPr>
      <w:r>
        <w:t>Чтобы обеспечить полностью интегрированный подход, Комиссия и Верховный представитель при поддержке агентств ЕС разработают всестороннюю (межотраслевую, все опасности) оценку рисков и угроз ЕС. Он будет включать в себя выводы из различных областей политики, включая внутреннюю и внешнюю безопасность, и будет основан на научном анализе, исследованиях и инновациях, финансируемых ЕС, системах раннего предупреждения в режиме реального времени, спутниковом мониторинге и геопространственных данных, таких как Служба управления чрезвычайными ситуациями «Коперник», а также на существующих оценках на уровне ЕС и на национальном уровне и бизнес-аналитике. Это мероприятие позволит упорядочить обязательства по отчетности, избежать ненужного административного бремени и повысить эффективность. Важнейшее значение будет иметь Единый потенциал анализа разведывательных данных (ОКИА) в качестве единого источника разведывательных данных государств-членов. К концу 2025 года SIAC будет укреплена за счет подкрепления и дополнительных ресурсов в соответствии с Совместным документом Высокого представителя и государств-членов.</w:t>
      </w:r>
    </w:p>
    <w:p w14:paraId="314FC059" w14:textId="77777777" w:rsidR="00DA60C6" w:rsidRDefault="0045219D">
      <w:pPr>
        <w:pStyle w:val="a3"/>
        <w:spacing w:before="120"/>
      </w:pPr>
      <w:r>
        <w:t>Эта оценка будет представлена Европейскому парламенту и Совету по мере необходимости.</w:t>
      </w:r>
    </w:p>
    <w:p w14:paraId="5B92D3C6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Настройте «кризисную панель» для лиц, принимающих решения</w:t>
      </w:r>
    </w:p>
    <w:p w14:paraId="2AD32AAC" w14:textId="77777777" w:rsidR="00DA60C6" w:rsidRDefault="0045219D">
      <w:pPr>
        <w:pStyle w:val="a3"/>
        <w:spacing w:before="120"/>
        <w:ind w:right="870"/>
      </w:pPr>
      <w:r>
        <w:t>Комиссия и Верховный представитель в сотрудничестве с государствами-членами и при поддержке соответствующих агентств ЕС разработают «кризисную панель», объединяющую отраслевые системы быстрого оповещения и улучшающую координацию для лиц, принимающих решения.</w:t>
      </w:r>
    </w:p>
    <w:p w14:paraId="0218D6DD" w14:textId="77777777" w:rsidR="00DA60C6" w:rsidRDefault="0045219D">
      <w:pPr>
        <w:pStyle w:val="a3"/>
        <w:spacing w:before="121"/>
        <w:ind w:right="871"/>
      </w:pPr>
      <w:r>
        <w:t>Эта всесторонняя оценка рисков и угроз ЕС и «кризисная панель» будут учтены в обсуждениях Коллегии комиссаров, в частности, в формате Коллегии безопасности, чтобы углубить понимание безопасности и стратегической обстановки в Европе, а также обеспечить политическое руководство действиями Комиссии по обеспечению готовности и устойчивости.</w:t>
      </w:r>
    </w:p>
    <w:p w14:paraId="0DF78F9D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Укрепление Координационного центра реагирования на чрезвычайные ситуации (ERCC)</w:t>
      </w:r>
    </w:p>
    <w:p w14:paraId="6D4D3DC5" w14:textId="77777777" w:rsidR="00DA60C6" w:rsidRDefault="0045219D">
      <w:pPr>
        <w:pStyle w:val="a3"/>
        <w:spacing w:before="120"/>
        <w:ind w:right="870"/>
      </w:pPr>
      <w:r>
        <w:lastRenderedPageBreak/>
        <w:t>Для того чтобы более активно реагировать на чрезвычайные ситуации и кризисы, ERCC будет дополнительно оснащен для того, чтобы: (i) проводить регулярные брифинги по оперативным перспективам по межсекторальным рискам, связанным со всеми опасностями; (ii) выявление и анализ их каскадных эффектов; и (iii) создавать сценарии.</w:t>
      </w:r>
    </w:p>
    <w:p w14:paraId="4747A733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Разработка каталога ЕС для обучения и платформы для извлеченных уроков</w:t>
      </w:r>
    </w:p>
    <w:p w14:paraId="22E63A74" w14:textId="77777777" w:rsidR="00DA60C6" w:rsidRDefault="0045219D">
      <w:pPr>
        <w:pStyle w:val="a3"/>
        <w:spacing w:before="120"/>
        <w:ind w:right="869"/>
      </w:pPr>
      <w:r>
        <w:t>Для обеспечения скоординированной и эффективной готовности к кризисам и реагирования на них Комиссия и Высокий представитель разработают каталог методов и руководящих указаний для государств-членов в целях повышения уровня подготовки по вопросам готовности. Они также разработают всеобъемлющий и инклюзивный общеевропейский план обучения и развития навыков в области безопасности, обороны и кризисного регулирования, чтобы вооружить специалистов, волонтеров и лиц, принимающих решения, необходимым</w:t>
      </w:r>
    </w:p>
    <w:p w14:paraId="755D2F55" w14:textId="77777777" w:rsidR="00DA60C6" w:rsidRDefault="00DA60C6">
      <w:pPr>
        <w:pStyle w:val="a3"/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12EDBCC1" w14:textId="77777777" w:rsidR="00DA60C6" w:rsidRDefault="0045219D">
      <w:pPr>
        <w:pStyle w:val="a3"/>
        <w:spacing w:before="60"/>
        <w:ind w:right="874"/>
      </w:pPr>
      <w:r>
        <w:lastRenderedPageBreak/>
        <w:t>экспертиза в различных секторах и государствах-членах. На уровне ЕС будет создана платформа для обмена «извлеченными уроками», которая интегрирует выводы из прошлых кризисов и учений в будущие усилия по реагированию.</w:t>
      </w:r>
    </w:p>
    <w:p w14:paraId="456EE8BE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</w:pPr>
      <w:r>
        <w:t>Создание Государственной службы ЕС по наблюдению за Землей (EOGS)</w:t>
      </w:r>
    </w:p>
    <w:p w14:paraId="4AE39671" w14:textId="77777777" w:rsidR="00DA60C6" w:rsidRDefault="0045219D">
      <w:pPr>
        <w:pStyle w:val="a3"/>
        <w:spacing w:before="120"/>
        <w:ind w:right="870"/>
      </w:pPr>
      <w:r>
        <w:t>ЕС разработает Государственную службу наблюдения Земли (EOGS), которая, в частности, будет обеспечивать безопасное, надежное, своевременное, постоянное и целенаправленное спутниковое зондирование, укрепляя существующие и планируемые возможности и опираясь на многолетний опыт использования программы «Коперник» для поддержки управления чрезвычайными ситуациями и обеспечения безопасности.</w:t>
      </w:r>
    </w:p>
    <w:p w14:paraId="180F4997" w14:textId="77777777" w:rsidR="00DA60C6" w:rsidRDefault="00DA60C6">
      <w:pPr>
        <w:pStyle w:val="a3"/>
        <w:spacing w:before="240"/>
        <w:ind w:left="0"/>
        <w:jc w:val="left"/>
      </w:pPr>
    </w:p>
    <w:p w14:paraId="1D86E5D9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ind w:left="1734" w:hanging="359"/>
      </w:pPr>
      <w:r>
        <w:t>УСТОЙЧИВОСТЬ ЖИЗНЕННО ВАЖНЫХ ФУНКЦИЙ ОБЩЕСТВА</w:t>
      </w:r>
    </w:p>
    <w:p w14:paraId="5B2C6DF4" w14:textId="77777777" w:rsidR="00DA60C6" w:rsidRDefault="0045219D">
      <w:pPr>
        <w:pStyle w:val="a3"/>
        <w:spacing w:before="120"/>
        <w:ind w:right="867"/>
      </w:pPr>
      <w:r>
        <w:t>Жизненно важные функции общества – это фундаментальные системы и структуры, которые позволяют обществу функционировать, защищая при этом наши общества, экономику, культуру и демократические институты при любых обстоятельствах. Эти функции включают в себя, прежде всего, безопасность населения ЕС, включая защиту от стихийных бедствий, преемственность правительств и принятие решений, демократические процессы, социальную сплоченность и экономическую стабильность, а также внутреннюю и внешнюю безопасность. Они составляют основу стабильного и безопасного общества.</w:t>
      </w:r>
    </w:p>
    <w:p w14:paraId="5283055A" w14:textId="77777777" w:rsidR="00DA60C6" w:rsidRDefault="0045219D">
      <w:pPr>
        <w:pStyle w:val="a3"/>
        <w:spacing w:before="121"/>
        <w:ind w:right="869"/>
      </w:pPr>
      <w:r>
        <w:t>Существующая правовая база ЕС</w:t>
      </w:r>
      <w:hyperlink w:anchor="_bookmark5" w:history="1">
        <w:r>
          <w:rPr>
            <w:vertAlign w:val="superscript"/>
          </w:rPr>
          <w:t>6</w:t>
        </w:r>
      </w:hyperlink>
      <w:r>
        <w:t xml:space="preserve"> охватывает большинство областей (см. график ниже), обеспечивающих жизненно важные функции общества. Это включает в себя межсекторальное антикризисное законодательство, а также секторальные планы действий в чрезвычайных ситуациях и законодательство, повышающее устойчивость наших обществ, таких как продовольственная безопасность, питьевая вода, энергоснабжение, телекоммуникации и транспорт, управление отходами, системы здравоохранения, строительные стандарты, охрана природы, планы на случай наводнений, финансовые услуги и другие.</w:t>
      </w:r>
    </w:p>
    <w:p w14:paraId="07713420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1CE96EB8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42493A12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0E45AB58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21CB0A8A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0560131F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51CA4E93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59352DB9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828079E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2B92A70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749DF60F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AF58273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79A7048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2AD279C3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795EE20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7DDD3BFB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2B52FDC7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29DE7CDB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5768B4ED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6F1B9FE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2793391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5EBC29E6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73A04FCB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68220685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7C610C2E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321D482F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2866F623" w14:textId="77777777" w:rsidR="00DA60C6" w:rsidRDefault="0045219D">
      <w:pPr>
        <w:pStyle w:val="a3"/>
        <w:spacing w:before="5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004F03" wp14:editId="6FE411FC">
                <wp:simplePos x="0" y="0"/>
                <wp:positionH relativeFrom="page">
                  <wp:posOffset>914704</wp:posOffset>
                </wp:positionH>
                <wp:positionV relativeFrom="paragraph">
                  <wp:posOffset>197231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A7FB" id="Graphic 9" o:spid="_x0000_s1026" style="position:absolute;margin-left:1in;margin-top:15.5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CVr8bL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FD65FF" w14:textId="77777777" w:rsidR="00DA60C6" w:rsidRDefault="0045219D">
      <w:pPr>
        <w:spacing w:before="221"/>
        <w:ind w:left="1015" w:right="869"/>
        <w:jc w:val="both"/>
        <w:rPr>
          <w:sz w:val="20"/>
        </w:rPr>
      </w:pPr>
      <w:bookmarkStart w:id="5" w:name="_bookmark5"/>
      <w:bookmarkEnd w:id="5"/>
      <w:r>
        <w:rPr>
          <w:sz w:val="20"/>
          <w:vertAlign w:val="superscript"/>
        </w:rPr>
        <w:lastRenderedPageBreak/>
        <w:t>6</w:t>
      </w:r>
      <w:r>
        <w:rPr>
          <w:sz w:val="20"/>
        </w:rPr>
        <w:t xml:space="preserve"> Например, Директива об устойчивости критически важных объектов (CER) и Директива о безопасности сетевых и информационных систем (NIS2), Регулирование электроэнергетики, Регулирование газовой безопасности, Банковский союз, Закон о цифровой операционной устойчивости – DORA, Трансъевропейская транспортная сеть – TEN-T, Европейский союз здравоохранения, Закон о чрезвычайной устойчивости внутреннего рынка (IMERA).</w:t>
      </w:r>
    </w:p>
    <w:p w14:paraId="643EB3D6" w14:textId="77777777" w:rsidR="00DA60C6" w:rsidRDefault="00DA60C6">
      <w:pPr>
        <w:jc w:val="both"/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54860E87" w14:textId="77777777" w:rsidR="00DA60C6" w:rsidRDefault="0045219D">
      <w:pPr>
        <w:pStyle w:val="a3"/>
        <w:ind w:left="2569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B92DFF8" wp14:editId="6CA6E477">
            <wp:extent cx="3783108" cy="3781615"/>
            <wp:effectExtent l="0" t="0" r="0" b="0"/>
            <wp:docPr id="10" name="Image 10" descr="Круговая диаграмма различных функций здоровья и безопасности, созданного ИИ, может быть неверной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circular diagram of various health and safety functions  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108" cy="378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3F90" w14:textId="77777777" w:rsidR="00DA60C6" w:rsidRDefault="00DA60C6">
      <w:pPr>
        <w:pStyle w:val="a3"/>
        <w:ind w:left="0"/>
        <w:jc w:val="left"/>
      </w:pPr>
    </w:p>
    <w:p w14:paraId="29DB4E15" w14:textId="77777777" w:rsidR="00DA60C6" w:rsidRDefault="00DA60C6">
      <w:pPr>
        <w:pStyle w:val="a3"/>
        <w:spacing w:before="38"/>
        <w:ind w:left="0"/>
        <w:jc w:val="left"/>
      </w:pPr>
    </w:p>
    <w:p w14:paraId="5D4F3C24" w14:textId="77777777" w:rsidR="00DA60C6" w:rsidRDefault="0045219D">
      <w:pPr>
        <w:pStyle w:val="a3"/>
        <w:ind w:right="867"/>
      </w:pPr>
      <w:r>
        <w:t xml:space="preserve">Для поддержания жизненно важных социальных функций при любых обстоятельствах должна быть создана соответствующая структура: </w:t>
      </w:r>
      <w:r>
        <w:rPr>
          <w:i/>
        </w:rPr>
        <w:t>во-первых</w:t>
      </w:r>
      <w:r>
        <w:t xml:space="preserve">, ЕС должен иметь соответствующие инструменты для защиты демократического управления и процессов принятия решений, обеспечивая эффективное снижение рисков и реагирование на кризисы на европейском уровне. </w:t>
      </w:r>
      <w:r>
        <w:rPr>
          <w:i/>
        </w:rPr>
        <w:t>Во-вторых</w:t>
      </w:r>
      <w:r>
        <w:t xml:space="preserve">, целостность Единого рынка, поддерживаемая свободным передвижением людей, товаров, капитала и услуг, а также разумной социальной, экономической и налогово-бюджетной политикой, имеет важнейшее значение для экономической и финансовой стабильности и устойчивости. </w:t>
      </w:r>
      <w:r>
        <w:rPr>
          <w:i/>
        </w:rPr>
        <w:t>В-третьих</w:t>
      </w:r>
      <w:r>
        <w:t xml:space="preserve">, ЕС должен защищать окружающую среду, продвигать природные решения и устойчивое управление природными ресурсами. </w:t>
      </w:r>
      <w:r>
        <w:rPr>
          <w:i/>
        </w:rPr>
        <w:t>В-четвертых</w:t>
      </w:r>
      <w:r>
        <w:t>, для укрепления стратегической автономии и снижения уязвимости ЕС должен повысить замкнутый цикл, долгосрочную безопасность цепочек поставок и устойчивость к внешнему принуждению, обеспечивая доступ к сырью, товарам первой необходимости и критически важным поставкам, а также оптимизировать использование космических активов и услуг, инвестируя при этом в исследования и инновации для поддержания конкурентоспособности промышленности и технологического лидерства.</w:t>
      </w:r>
    </w:p>
    <w:p w14:paraId="43C319FA" w14:textId="77777777" w:rsidR="00DA60C6" w:rsidRDefault="0045219D">
      <w:pPr>
        <w:pStyle w:val="2"/>
        <w:spacing w:before="121"/>
        <w:ind w:left="1015" w:firstLine="0"/>
      </w:pPr>
      <w:r>
        <w:t>Ключевые действия</w:t>
      </w:r>
    </w:p>
    <w:p w14:paraId="2EC8710D" w14:textId="77777777" w:rsidR="00DA60C6" w:rsidRDefault="0045219D">
      <w:pPr>
        <w:pStyle w:val="a5"/>
        <w:numPr>
          <w:ilvl w:val="0"/>
          <w:numId w:val="1"/>
        </w:numPr>
        <w:tabs>
          <w:tab w:val="left" w:pos="1441"/>
        </w:tabs>
        <w:ind w:left="1441" w:hanging="426"/>
        <w:jc w:val="both"/>
        <w:rPr>
          <w:b/>
          <w:sz w:val="24"/>
        </w:rPr>
      </w:pPr>
      <w:r>
        <w:rPr>
          <w:b/>
          <w:sz w:val="24"/>
        </w:rPr>
        <w:t>Встраивание проектной готовности в политику и действия ЕС</w:t>
      </w:r>
    </w:p>
    <w:p w14:paraId="5AA5C268" w14:textId="77777777" w:rsidR="00DA60C6" w:rsidRDefault="0045219D">
      <w:pPr>
        <w:pStyle w:val="a3"/>
        <w:spacing w:before="120"/>
        <w:ind w:right="867"/>
      </w:pPr>
      <w:r>
        <w:t>Вопросы готовности и безопасности будут интегрированы и интегрированы в законодательство, политику и программы ЕС. Новые стратегии, законодательство и программы будут подготавливаться или пересматриваться с учетом перспективы готовности и безопасности, последовательно выявляя потенциальное воздействие предпочтительного варианта политики на готовность и безопасность. Это будет подкрепляться регулярным обучением лиц, ответственных за разработку политики в Комиссии.</w:t>
      </w:r>
    </w:p>
    <w:p w14:paraId="242002F3" w14:textId="77777777" w:rsidR="00DA60C6" w:rsidRDefault="0045219D">
      <w:pPr>
        <w:pStyle w:val="a3"/>
        <w:spacing w:before="121"/>
        <w:ind w:right="873"/>
      </w:pPr>
      <w:r>
        <w:t xml:space="preserve">Рациональная экономическая и социальная политика, скоординированная в рамках </w:t>
      </w:r>
      <w:r>
        <w:lastRenderedPageBreak/>
        <w:t>Европейского семестра, имеет решающее значение для устойчивости и готовности. В соответствующих случаях прогресс в реализации структурных реформ, которые также имеют отношение к готовности, будет оцениваться в рамках семестрового процесса. Экономическая и социальная политика, которая играет важную роль в обеспечении готовности, может быть дополнительно отражена в стране</w:t>
      </w:r>
    </w:p>
    <w:p w14:paraId="7B1DDEB8" w14:textId="77777777" w:rsidR="00DA60C6" w:rsidRDefault="00DA60C6">
      <w:pPr>
        <w:pStyle w:val="a3"/>
        <w:sectPr w:rsidR="00DA60C6">
          <w:pgSz w:w="11910" w:h="16840"/>
          <w:pgMar w:top="1540" w:right="566" w:bottom="920" w:left="425" w:header="0" w:footer="727" w:gutter="0"/>
          <w:cols w:space="720"/>
        </w:sectPr>
      </w:pPr>
    </w:p>
    <w:p w14:paraId="43F62CC2" w14:textId="77777777" w:rsidR="00DA60C6" w:rsidRDefault="0045219D">
      <w:pPr>
        <w:pStyle w:val="a3"/>
        <w:spacing w:before="60"/>
        <w:ind w:right="876"/>
      </w:pPr>
      <w:r>
        <w:lastRenderedPageBreak/>
        <w:t>Конкретные рекомендации, тем самым стимулируя государства-члены к проведению и осуществлению этих реформ.</w:t>
      </w:r>
    </w:p>
    <w:p w14:paraId="561FE851" w14:textId="77777777" w:rsidR="00DA60C6" w:rsidRDefault="0045219D">
      <w:pPr>
        <w:pStyle w:val="a3"/>
        <w:spacing w:before="121"/>
        <w:ind w:right="874"/>
      </w:pPr>
      <w:r>
        <w:t>Снижение связанной с этим административной нагрузки и рационализация процедур будут способствовать более гибким и эффективным действиям по обеспечению готовности. Комиссия наметит необходимые меры по упрощению в консультации со всеми соответствующими заинтересованными сторонами.</w:t>
      </w:r>
    </w:p>
    <w:p w14:paraId="21203D1A" w14:textId="77777777" w:rsidR="00DA60C6" w:rsidRDefault="0045219D">
      <w:pPr>
        <w:pStyle w:val="a3"/>
        <w:spacing w:before="120"/>
        <w:ind w:right="869"/>
      </w:pPr>
      <w:r>
        <w:t>Комиссия оценит необходимость и целесообразность принятия Закона ЕС о готовности для укрепления устойчивости жизненно важных социальных функций путем установления совместных стандартов и измеримых долгосрочных целей.</w:t>
      </w:r>
    </w:p>
    <w:p w14:paraId="6CD4C178" w14:textId="77777777" w:rsidR="00DA60C6" w:rsidRDefault="0045219D">
      <w:pPr>
        <w:pStyle w:val="2"/>
        <w:numPr>
          <w:ilvl w:val="0"/>
          <w:numId w:val="1"/>
        </w:numPr>
        <w:tabs>
          <w:tab w:val="left" w:pos="1501"/>
        </w:tabs>
        <w:ind w:left="1501" w:hanging="486"/>
        <w:jc w:val="both"/>
      </w:pPr>
      <w:r>
        <w:t>Примите минимальные требования к готовности</w:t>
      </w:r>
    </w:p>
    <w:p w14:paraId="390F0D2F" w14:textId="77777777" w:rsidR="00DA60C6" w:rsidRDefault="0045219D">
      <w:pPr>
        <w:pStyle w:val="a3"/>
        <w:spacing w:before="120"/>
        <w:ind w:right="867"/>
      </w:pPr>
      <w:r>
        <w:t>Ближайшим приоритетом является безотлагательное и полное транспонирование и реализация правовой базы Союза, в частности, Директив CER и NIS2, как это будет объяснено в предстоящей Стратегии внутренней безопасности. На основании имплементации настоящих Директив Европейская Комиссия оценит, могут ли потребоваться дополнительные меры.</w:t>
      </w:r>
    </w:p>
    <w:p w14:paraId="11798FD4" w14:textId="77777777" w:rsidR="00DA60C6" w:rsidRDefault="0045219D">
      <w:pPr>
        <w:pStyle w:val="a3"/>
        <w:spacing w:before="121"/>
        <w:ind w:right="869"/>
      </w:pPr>
      <w:r>
        <w:t>Параллельно с этим Комиссия будет взаимодействовать с государствами-членами ЕС для выявления других секторов и услуг, не охваченных действующим законодательством, в отношении которых может возникнуть необходимость в принятии мер. На основе этой оценки Комиссия предложит рекомендации по минимальным требованиям готовности, включая механизм мониторинга. Последние будут соответствовать целям по обеспечению устойчивости к стихийным бедствиям и дополнять базовые требования Организации Североатлантического договора (НАТО) к устойчивости</w:t>
      </w:r>
      <w:hyperlink w:anchor="_bookmark6" w:history="1">
        <w:r>
          <w:rPr>
            <w:vertAlign w:val="superscript"/>
          </w:rPr>
          <w:t>7</w:t>
        </w:r>
      </w:hyperlink>
      <w:r>
        <w:t>.</w:t>
      </w:r>
    </w:p>
    <w:p w14:paraId="7F8F83FD" w14:textId="77777777" w:rsidR="00DA60C6" w:rsidRDefault="0045219D">
      <w:pPr>
        <w:pStyle w:val="a3"/>
        <w:spacing w:before="120"/>
        <w:ind w:right="870"/>
      </w:pPr>
      <w:r>
        <w:t>Институты ЕС будут принимать меры для повышения собственной внутренней готовности, в частности, путем совершенствования защищенной связи между институтами ЕС и государствами-членами.</w:t>
      </w:r>
    </w:p>
    <w:p w14:paraId="3FC78828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Пересмотреть механизм гражданской защиты ЕС</w:t>
      </w:r>
    </w:p>
    <w:p w14:paraId="64BF3B20" w14:textId="77777777" w:rsidR="00DA60C6" w:rsidRDefault="0045219D">
      <w:pPr>
        <w:pStyle w:val="a3"/>
        <w:spacing w:before="120"/>
        <w:ind w:right="874"/>
      </w:pPr>
      <w:r>
        <w:t>Комиссия пересмотрит законодательную базу UCPM для дальнейшего повышения эффективности и результативности в чрезвычайных ситуациях и кризисах с сильными последствиями, требующих надежного реагирования и координации на европейском уровне.</w:t>
      </w:r>
    </w:p>
    <w:p w14:paraId="174C173D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Предложить стратегию накопления запасов в ЕС</w:t>
      </w:r>
    </w:p>
    <w:p w14:paraId="5D24461E" w14:textId="77777777" w:rsidR="00DA60C6" w:rsidRDefault="0045219D">
      <w:pPr>
        <w:pStyle w:val="a3"/>
        <w:spacing w:before="120"/>
        <w:ind w:right="869"/>
      </w:pPr>
      <w:r>
        <w:t>Комиссия предложит общеевропейскую стратегию накопления запасов, которая объединит все существующие отраслевые усилия по накоплению запасов. Он расширит доступ к критически важным ресурсам на всей территории ЕС, например, для реагирования на чрезвычайные ситуации и стихийные бедствия, медицинские контрмеры, критически важное сырье, энергетическое оборудование, жилье и, возможно, агропродовольственные товары и воду. Он намерен объединить централизованные резервы на уровне ЕС с вкладами государств-членов, поддерживаемыми государственно-частными партнерствами, для обеспечения эффективности, масштабируемости и экономической эффективности.</w:t>
      </w:r>
    </w:p>
    <w:p w14:paraId="53A2C743" w14:textId="77777777" w:rsidR="00DA60C6" w:rsidRDefault="0045219D">
      <w:pPr>
        <w:pStyle w:val="a3"/>
        <w:spacing w:before="121"/>
        <w:ind w:right="870"/>
      </w:pPr>
      <w:r>
        <w:t xml:space="preserve">Комиссия также представит Стратегию поддержки медицинских контрмер против угроз общественному здравоохранению для укрепления безопасности ЕС в области здравоохранения, повышения конкурентоспособности ЕС и защиты населения от трансграничных угроз здоровью, включая химические, биологические, радиологические и ядерные (ХБРЯ) угрозы. Это будет дополнено мерами в отношении резервных запасов в соответствии с недавно предложенным Законом о важнейших </w:t>
      </w:r>
      <w:r>
        <w:lastRenderedPageBreak/>
        <w:t>лекарственных средствах.</w:t>
      </w:r>
    </w:p>
    <w:p w14:paraId="26C3316E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Предложить план адаптации к изменению климата</w:t>
      </w:r>
    </w:p>
    <w:p w14:paraId="294C0581" w14:textId="77777777" w:rsidR="00DA60C6" w:rsidRDefault="0045219D">
      <w:pPr>
        <w:pStyle w:val="a3"/>
        <w:spacing w:before="120"/>
        <w:ind w:right="872"/>
      </w:pPr>
      <w:r>
        <w:t>Комиссия представит Европейский план адаптации к изменению климата для поддержки государств-членов в подготовке к климатическим рискам и укреплении устойчивости Союза. Основываясь на Европейской оценке климатических рисков, План будет включать «готовность по замыслу» в соответствующие секторальные политики и инвестиции ЕС, а также укреплять упреждающую политику в области климата, окружающей среды и окружающей среды.</w:t>
      </w:r>
    </w:p>
    <w:p w14:paraId="647BF6B6" w14:textId="77777777" w:rsidR="00DA60C6" w:rsidRDefault="0045219D">
      <w:pPr>
        <w:pStyle w:val="a3"/>
        <w:spacing w:before="8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978BFC" wp14:editId="25E22BF9">
                <wp:simplePos x="0" y="0"/>
                <wp:positionH relativeFrom="page">
                  <wp:posOffset>914704</wp:posOffset>
                </wp:positionH>
                <wp:positionV relativeFrom="paragraph">
                  <wp:posOffset>217363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033D" id="Graphic 11" o:spid="_x0000_s1026" style="position:absolute;margin-left:1in;margin-top:17.1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jfMiT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B47D96" w14:textId="77777777" w:rsidR="00DA60C6" w:rsidRDefault="0045219D">
      <w:pPr>
        <w:spacing w:before="223"/>
        <w:ind w:left="1015"/>
        <w:rPr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 xml:space="preserve">7 </w:t>
      </w:r>
      <w:hyperlink r:id="rId15">
        <w:r>
          <w:rPr>
            <w:color w:val="467885"/>
            <w:sz w:val="20"/>
            <w:u w:val="single" w:color="467885"/>
          </w:rPr>
          <w:t>NATO - Topic: Устойчивость, гражданская готовность и статья 3</w:t>
        </w:r>
      </w:hyperlink>
    </w:p>
    <w:p w14:paraId="61429252" w14:textId="77777777" w:rsidR="00DA60C6" w:rsidRDefault="00DA60C6">
      <w:pPr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51F441C9" w14:textId="77777777" w:rsidR="00DA60C6" w:rsidRDefault="0045219D">
      <w:pPr>
        <w:pStyle w:val="a3"/>
        <w:spacing w:before="60"/>
        <w:ind w:right="877"/>
      </w:pPr>
      <w:r>
        <w:lastRenderedPageBreak/>
        <w:t>управление водными рисками в ЕС. Она будет поддерживать людей, деловые круги и политиков за счет использования общих климатических эталонных сценариев.</w:t>
      </w:r>
    </w:p>
    <w:p w14:paraId="228C9F60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</w:pPr>
      <w:r>
        <w:t>Обеспечение водоснабжения и других критически важных природных ресурсов</w:t>
      </w:r>
    </w:p>
    <w:p w14:paraId="07CAFA2C" w14:textId="77777777" w:rsidR="00DA60C6" w:rsidRDefault="0045219D">
      <w:pPr>
        <w:pStyle w:val="a3"/>
        <w:spacing w:before="120"/>
        <w:ind w:right="870"/>
      </w:pPr>
      <w:r>
        <w:t>Вода, почва и другие природные ресурсы имеют решающее значение не только для снабжения продовольствием, но и для хорошего функционирования нашей экономики. По данным Европейского центрального банка, почти 75% банковских кредитов компаниям в еврозоне предоставляются компаниям, которые сильно зависят по крайней мере от одной экосистемной услуги, в частности, от воды. Комиссия предложит Европейскую стратегию устойчивости водных ресурсов, которая определит путь к водной безопасности и устойчивости путем обеспечения доступности чистой воды и лучшей защиты ЕС от рисков, связанных с водой. Он также будет способствовать принятию природных решений для повышения готовности и устойчивости, в том числе к стихийным бедствиям. В рамках стратегии ЕС в области биоэкономики и Закона об экономике замкнутого цикла Комиссия будет принимать меры по увеличению использования материалов замкнутого цикла и материалов на биологической основе в наших производственно-сбытовых цепочках, чтобы повысить нашу независимость от импорта критически важного сырья.</w:t>
      </w:r>
    </w:p>
    <w:p w14:paraId="10EC2ABA" w14:textId="77777777" w:rsidR="00DA60C6" w:rsidRDefault="00DA60C6">
      <w:pPr>
        <w:pStyle w:val="a3"/>
        <w:spacing w:before="241"/>
        <w:ind w:left="0"/>
        <w:jc w:val="left"/>
      </w:pPr>
    </w:p>
    <w:p w14:paraId="4F2FD2A6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ind w:left="1734" w:hanging="359"/>
      </w:pPr>
      <w:r>
        <w:t>ГОТОВНОСТЬ НАСЕЛЕНИЯ</w:t>
      </w:r>
    </w:p>
    <w:p w14:paraId="78B1032B" w14:textId="77777777" w:rsidR="00DA60C6" w:rsidRDefault="0045219D">
      <w:pPr>
        <w:pStyle w:val="a3"/>
        <w:spacing w:before="120"/>
        <w:ind w:right="868"/>
      </w:pPr>
      <w:r>
        <w:t>Готовность – это коллективная ответственность. Органы государственной власти, средства массовой информации, образовательные, учебные и культурные учреждения, молодежные организации и организации гражданского общества, социальные партнеры, деловые круги, местные сети и сообщества, а также граждане с раннего возраста – все они играют жизненно важную роль. Недавние опросы Евробарометра</w:t>
      </w:r>
      <w:hyperlink w:anchor="_bookmark7" w:history="1">
        <w:r>
          <w:rPr>
            <w:vertAlign w:val="superscript"/>
          </w:rPr>
          <w:t>8</w:t>
        </w:r>
      </w:hyperlink>
      <w:r>
        <w:t xml:space="preserve"> показывают, что в 2024 году почти половина европейцев (49%) не чувствовали себя хорошо информированными о рисках стихийных бедствий, которые могут их коснуться, а 65% из них нуждаются в дополнительной информации, чтобы иметь возможность подготовиться к стихийным бедствиям или чрезвычайным ситуациям.</w:t>
      </w:r>
    </w:p>
    <w:p w14:paraId="39D372CC" w14:textId="77777777" w:rsidR="00DA60C6" w:rsidRDefault="0045219D">
      <w:pPr>
        <w:pStyle w:val="a3"/>
        <w:spacing w:before="120"/>
        <w:ind w:right="869"/>
      </w:pPr>
      <w:r>
        <w:t>Осведомленность о рисках и угрозах имеет важное значение для обеспечения того, чтобы граждане и сообщества ЕС стали активными участниками усилий по обеспечению готовности к кризисам и реагированию на них. Неравенство является фактором риска для готовности. Женщины и группы населения, находящиеся в уязвимом положении, такие как дети, пожилые люди и инвалиды, лица, сталкивающиеся с дискриминацией, нищетой и/или социальной изоляцией, непропорционально страдают от кризисов, которые часто усугубляют ранее существовавшие неблагоприятные условия и неравенство. Таким образом, соображения равенства должны быть учтены на всех этапах подготовки в соответствии с концепцией Союза равенства и, в частности, с Дорожной картой по правам женщин. Дезинформация и манипулирование иностранной информацией и вмешательство (FIMI) особенно вредны, поскольку они подрывают общественное доверие и могут усугубить последствия кризисов. Точно так же отсутствие доступной информации подрывает общественную готовность.</w:t>
      </w:r>
    </w:p>
    <w:p w14:paraId="7FE7BE6B" w14:textId="77777777" w:rsidR="00DA60C6" w:rsidRDefault="0045219D">
      <w:pPr>
        <w:pStyle w:val="a3"/>
        <w:spacing w:before="121"/>
        <w:ind w:right="878"/>
      </w:pPr>
      <w:r>
        <w:t>Смена парадигмы необходима для создания образа мышления, способствующего формированию культуры готовности и устойчивости.</w:t>
      </w:r>
    </w:p>
    <w:p w14:paraId="7881058E" w14:textId="77777777" w:rsidR="00DA60C6" w:rsidRDefault="0045219D">
      <w:pPr>
        <w:pStyle w:val="3"/>
      </w:pPr>
      <w:r>
        <w:t>Содействие формированию культуры инклюзивной готовности и межпоколенческой устойчивости общества</w:t>
      </w:r>
    </w:p>
    <w:p w14:paraId="08BF0E01" w14:textId="77777777" w:rsidR="00DA60C6" w:rsidRDefault="0045219D">
      <w:pPr>
        <w:pStyle w:val="a3"/>
        <w:spacing w:before="120"/>
        <w:ind w:right="870"/>
      </w:pPr>
      <w:r>
        <w:t xml:space="preserve">Готовность должна распространяться на все слои общества. Следует поддерживать построение сообщества и волонтерство. Социальные услуги и надлежащая социальная </w:t>
      </w:r>
      <w:r>
        <w:lastRenderedPageBreak/>
        <w:t>защита должны гарантировать, что никто не будет забыт в усилиях по обеспечению готовности. Опираясь на передовой опыт, в том числе в рамках Механизма гражданской защиты Европейского Союза, Европейская Комиссия и государства-члены ЕС должны поощрять самостоятельность, психологическую устойчивость и обеспечивать повышенную индивидуальную готовность, готовность к взаимодействию между поколениями и домашним хозяйством.</w:t>
      </w:r>
    </w:p>
    <w:p w14:paraId="2488E1C1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32497517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471DD43D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5E63FCAE" w14:textId="77777777" w:rsidR="00DA60C6" w:rsidRDefault="0045219D">
      <w:pPr>
        <w:pStyle w:val="a3"/>
        <w:spacing w:before="15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BDB8BC" wp14:editId="3964F6DD">
                <wp:simplePos x="0" y="0"/>
                <wp:positionH relativeFrom="page">
                  <wp:posOffset>914704</wp:posOffset>
                </wp:positionH>
                <wp:positionV relativeFrom="paragraph">
                  <wp:posOffset>259295</wp:posOffset>
                </wp:positionV>
                <wp:extent cx="182943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6AF8D" id="Graphic 12" o:spid="_x0000_s1026" style="position:absolute;margin-left:1in;margin-top:20.4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FzkOAv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E174DB" w14:textId="77777777" w:rsidR="00DA60C6" w:rsidRDefault="0045219D">
      <w:pPr>
        <w:spacing w:before="223"/>
        <w:ind w:left="1015"/>
        <w:rPr>
          <w:sz w:val="20"/>
        </w:rPr>
      </w:pPr>
      <w:bookmarkStart w:id="7" w:name="_bookmark7"/>
      <w:bookmarkEnd w:id="7"/>
      <w:r>
        <w:rPr>
          <w:sz w:val="20"/>
          <w:vertAlign w:val="superscript"/>
        </w:rPr>
        <w:t xml:space="preserve">8 </w:t>
      </w:r>
      <w:r>
        <w:rPr>
          <w:sz w:val="20"/>
        </w:rPr>
        <w:t>Восприятие кризисного управления ЕС - июнь 2024 г.</w:t>
      </w:r>
    </w:p>
    <w:p w14:paraId="304CC0A3" w14:textId="77777777" w:rsidR="00DA60C6" w:rsidRDefault="00DA60C6">
      <w:pPr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0B870735" w14:textId="77777777" w:rsidR="00DA60C6" w:rsidRDefault="0045219D">
      <w:pPr>
        <w:pStyle w:val="a3"/>
        <w:spacing w:before="80"/>
        <w:ind w:right="871"/>
      </w:pPr>
      <w:r>
        <w:lastRenderedPageBreak/>
        <w:t>Комиссия будет работать над созданием Европейского механизма гражданской обороны9</w:t>
      </w:r>
      <w:hyperlink w:anchor="_bookmark8" w:history="1">
        <w:r>
          <w:rPr>
            <w:vertAlign w:val="superscript"/>
          </w:rPr>
          <w:t xml:space="preserve">, </w:t>
        </w:r>
      </w:hyperlink>
      <w:r>
        <w:rPr>
          <w:spacing w:val="-15"/>
        </w:rPr>
        <w:t xml:space="preserve"> рассматривающего все аспекты управления кризисами и стихийными бедствиями, чтобы поддержать дальнейшее развитие общественного сознания и инвестировать в просвещение граждан о рисках.</w:t>
      </w:r>
    </w:p>
    <w:p w14:paraId="562C3580" w14:textId="77777777" w:rsidR="00DA60C6" w:rsidRDefault="0045219D">
      <w:pPr>
        <w:pStyle w:val="3"/>
        <w:spacing w:before="121"/>
      </w:pPr>
      <w:r>
        <w:t>Расширение возможностей более устойчивых граждан</w:t>
      </w:r>
    </w:p>
    <w:p w14:paraId="790D40A5" w14:textId="77777777" w:rsidR="00DA60C6" w:rsidRDefault="0045219D">
      <w:pPr>
        <w:pStyle w:val="a3"/>
        <w:spacing w:before="120"/>
        <w:ind w:right="867"/>
      </w:pPr>
      <w:r>
        <w:t>Граждане и сообщества по всему ЕС должны иметь возможность получать доступ к качественной и надежной информации, обладать необходимыми навыками для ее оценки, активно участвовать в предотвращении кризисов и быть достаточно подготовленными к реагированию на них. Школы, учителя, молодежные работники и тренеры играют ключевую роль в развитии цифровой и медийной грамотности и критического мышления, продвижении гражданской активности и обучении демократической гражданственности, как подчеркивается в Союзе навыков. Социальные партнеры могут внести решающий вклад в эти усилия по обеспечению готовности, в том числе путем информирования и обучения работников. Для более систематического противодействия манипуляциям с иностранной информацией и дезинформации</w:t>
      </w:r>
      <w:r>
        <w:rPr>
          <w:b/>
        </w:rPr>
        <w:t xml:space="preserve"> </w:t>
      </w:r>
      <w:r>
        <w:t>следует в полной мере использовать инструментарий FIMI ЕС, Закон о цифровых услугах и готовящийся к выходу Европейский щит демократии.</w:t>
      </w:r>
    </w:p>
    <w:p w14:paraId="0C75EF48" w14:textId="77777777" w:rsidR="00DA60C6" w:rsidRDefault="0045219D">
      <w:pPr>
        <w:pStyle w:val="3"/>
        <w:spacing w:before="121"/>
      </w:pPr>
      <w:r>
        <w:t>Повышение эффективности оповещения населения и коммуникации в кризисных ситуациях</w:t>
      </w:r>
    </w:p>
    <w:p w14:paraId="23696204" w14:textId="77777777" w:rsidR="00DA60C6" w:rsidRDefault="0045219D">
      <w:pPr>
        <w:pStyle w:val="a3"/>
        <w:spacing w:before="120"/>
        <w:ind w:right="868"/>
      </w:pPr>
      <w:r>
        <w:t>Необходимо совершенствовать общеевропейские системы оповещения населения, а также доступные и инклюзивные системы коммуникации в кризисных ситуациях, как до (информирование о рисках), так и во время кризисов (коммуникация в кризисных ситуациях), чтобы охватить всех людей при любых обстоятельствах, независимо от возраста, языка, инвалидности, правового статуса и т. д. Недавний кризисный опыт свидетельствует о необходимости охвата особо уязвимых групп населения, тех, кто сталкивается с дискриминацией, бедностью и социальной изоляцией, а также о лицах из других стран (от путешественников до сезонных рабочих и мигрантов), а также о необходимости предотвращения дезинформации. Функция оповещения общественности может быть разработана в рамках EU Digital Identity Wallet</w:t>
      </w:r>
      <w:hyperlink w:anchor="_bookmark9" w:history="1">
        <w:r>
          <w:rPr>
            <w:vertAlign w:val="superscript"/>
          </w:rPr>
          <w:t>10</w:t>
        </w:r>
      </w:hyperlink>
      <w:r>
        <w:t xml:space="preserve"> для уведомлений о чрезвычайных ситуациях. Это позволит правительствам с помощью простого и аутентифицированного способа прямой связи с гражданами, доказывая предупреждения и тревоги.</w:t>
      </w:r>
    </w:p>
    <w:p w14:paraId="1CE20A86" w14:textId="77777777" w:rsidR="00DA60C6" w:rsidRDefault="0045219D">
      <w:pPr>
        <w:pStyle w:val="3"/>
      </w:pPr>
      <w:r>
        <w:t>Предоставление ключевых навыков и обеспечение мобильности рабочей силы во время кризисов</w:t>
      </w:r>
    </w:p>
    <w:p w14:paraId="26BA6CB4" w14:textId="77777777" w:rsidR="00DA60C6" w:rsidRDefault="0045219D">
      <w:pPr>
        <w:pStyle w:val="a3"/>
        <w:spacing w:before="120"/>
        <w:ind w:right="872"/>
      </w:pPr>
      <w:r>
        <w:t>Эффективная политика в области образования и профессиональной подготовки, включающая в себя критически важные функции, как подчеркивается в Союзе навыков, имеет важное значение для обеспечения того, чтобы работники обладали нужными компетенциями и могли быть мобилизованы по всему ЕС во время чрезвычайных ситуаций.</w:t>
      </w:r>
    </w:p>
    <w:p w14:paraId="58E90DCE" w14:textId="77777777" w:rsidR="00DA60C6" w:rsidRDefault="0045219D">
      <w:pPr>
        <w:pStyle w:val="a3"/>
        <w:spacing w:before="120"/>
        <w:ind w:right="868"/>
      </w:pPr>
      <w:r>
        <w:t>Комиссия будет работать с государствами-членами и в сотрудничестве с социальными партнерами в целях: (i) обеспечения наличия и мобильности квалифицированного персонала во время чрезвычайных ситуаций путем разработки рамок для быстрого развертывания работников и добровольцев по всему ЕС; и (ii) повышение привлекательности карьерных путей в сферах гражданской обороны, служб экстренной помощи, включая здравоохранение, и безопасности.</w:t>
      </w:r>
    </w:p>
    <w:p w14:paraId="7FC37E8F" w14:textId="77777777" w:rsidR="00DA60C6" w:rsidRDefault="0045219D">
      <w:pPr>
        <w:pStyle w:val="2"/>
        <w:spacing w:before="121"/>
        <w:ind w:left="1015" w:firstLine="0"/>
      </w:pPr>
      <w:r>
        <w:t>Ключевые действия</w:t>
      </w:r>
    </w:p>
    <w:p w14:paraId="09DB3547" w14:textId="77777777" w:rsidR="00DA60C6" w:rsidRDefault="0045219D">
      <w:pPr>
        <w:pStyle w:val="a5"/>
        <w:numPr>
          <w:ilvl w:val="0"/>
          <w:numId w:val="1"/>
        </w:numPr>
        <w:tabs>
          <w:tab w:val="left" w:pos="1501"/>
        </w:tabs>
        <w:ind w:left="1501" w:hanging="486"/>
        <w:jc w:val="both"/>
        <w:rPr>
          <w:b/>
          <w:sz w:val="24"/>
        </w:rPr>
      </w:pPr>
      <w:r>
        <w:rPr>
          <w:b/>
          <w:sz w:val="24"/>
        </w:rPr>
        <w:t>Совершенствование систем раннего предупреждения</w:t>
      </w:r>
    </w:p>
    <w:p w14:paraId="3997AC0D" w14:textId="77777777" w:rsidR="00DA60C6" w:rsidRDefault="0045219D">
      <w:pPr>
        <w:pStyle w:val="a3"/>
        <w:spacing w:before="120"/>
        <w:ind w:right="868"/>
      </w:pPr>
      <w:r>
        <w:t xml:space="preserve">Комиссия совместно с государствами-членами ЕС разработает руководящие принципы </w:t>
      </w:r>
      <w:r>
        <w:lastRenderedPageBreak/>
        <w:t>для поддержки их коммуникации по различным рискам и ситуациям до и во время кризиса, в рамках инициативы PreparEU. Служба по управлению чрезвычайными ситуациями программы «Коперник» и предстоящие</w:t>
      </w:r>
    </w:p>
    <w:p w14:paraId="0AB03E9A" w14:textId="77777777" w:rsidR="00DA60C6" w:rsidRDefault="0045219D">
      <w:pPr>
        <w:pStyle w:val="a3"/>
        <w:spacing w:before="17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5F4BC8" wp14:editId="6FEB2D24">
                <wp:simplePos x="0" y="0"/>
                <wp:positionH relativeFrom="page">
                  <wp:posOffset>914704</wp:posOffset>
                </wp:positionH>
                <wp:positionV relativeFrom="paragraph">
                  <wp:posOffset>270694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33B38" id="Graphic 13" o:spid="_x0000_s1026" style="position:absolute;margin-left:1in;margin-top:21.3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yrA8E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5E3F30" w14:textId="77777777" w:rsidR="00DA60C6" w:rsidRDefault="0045219D">
      <w:pPr>
        <w:spacing w:before="223"/>
        <w:ind w:left="1015" w:right="880"/>
        <w:jc w:val="both"/>
        <w:rPr>
          <w:sz w:val="20"/>
        </w:rPr>
      </w:pPr>
      <w:bookmarkStart w:id="8" w:name="_bookmark8"/>
      <w:bookmarkEnd w:id="8"/>
      <w:r>
        <w:rPr>
          <w:sz w:val="20"/>
          <w:vertAlign w:val="superscript"/>
        </w:rPr>
        <w:t>Понятие</w:t>
      </w:r>
      <w:r>
        <w:rPr>
          <w:sz w:val="20"/>
        </w:rPr>
        <w:t xml:space="preserve"> «Механизм гражданской обороны» не наносит ущерба терминологии, используемой государствами-членами ЕС в отношении инструментов или механизмов, которые имеют содержание, сопоставимое с тем, что в настоящей Стратегии именуется «Механизмом гражданской обороны».</w:t>
      </w:r>
    </w:p>
    <w:p w14:paraId="08AAD27B" w14:textId="77777777" w:rsidR="00DA60C6" w:rsidRDefault="0045219D">
      <w:pPr>
        <w:ind w:left="1015" w:right="878"/>
        <w:jc w:val="both"/>
        <w:rPr>
          <w:sz w:val="20"/>
        </w:rPr>
      </w:pPr>
      <w:bookmarkStart w:id="9" w:name="_bookmark9"/>
      <w:bookmarkEnd w:id="9"/>
      <w:r>
        <w:rPr>
          <w:sz w:val="20"/>
          <w:vertAlign w:val="superscript"/>
        </w:rPr>
        <w:t>10</w:t>
      </w:r>
      <w:r>
        <w:rPr>
          <w:sz w:val="20"/>
        </w:rPr>
        <w:t xml:space="preserve"> Кошельки ЕС для цифровой идентификации обеспечат безопасное, надежное и конфиденциальное средство цифровой идентификации для всех жителей Европы. Каждое государство-член предоставит по крайней мере один кошелек всем гражданам, резидентам и предприятиям, позволяющий им подтверждать свою личность, а также безопасно хранить, обмениваться и подписывать важные цифровые документы. Цифровые кошельки ЕС будут доступны в приложениях для мобильных телефонов и других устройствах с конца 2026 года.</w:t>
      </w:r>
    </w:p>
    <w:p w14:paraId="1C597B72" w14:textId="77777777" w:rsidR="00DA60C6" w:rsidRDefault="00DA60C6">
      <w:pPr>
        <w:jc w:val="both"/>
        <w:rPr>
          <w:sz w:val="20"/>
        </w:rPr>
        <w:sectPr w:rsidR="00DA60C6">
          <w:pgSz w:w="11910" w:h="16840"/>
          <w:pgMar w:top="1340" w:right="566" w:bottom="920" w:left="425" w:header="0" w:footer="727" w:gutter="0"/>
          <w:cols w:space="720"/>
        </w:sectPr>
      </w:pPr>
    </w:p>
    <w:p w14:paraId="2FE1982F" w14:textId="77777777" w:rsidR="00DA60C6" w:rsidRDefault="0045219D">
      <w:pPr>
        <w:pStyle w:val="a3"/>
        <w:spacing w:before="60"/>
        <w:ind w:right="870"/>
      </w:pPr>
      <w:r>
        <w:lastRenderedPageBreak/>
        <w:t>Спутниковая служба экстренного предупреждения «Галилео» (EWSS) позволит национальным органам гражданской обороны иметь своевременный доступ к космической информации раннего предупреждения для непосредственного распространения тревожных сообщений среди населения.</w:t>
      </w:r>
    </w:p>
    <w:p w14:paraId="7C981FC2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</w:pPr>
      <w:r>
        <w:t>Повышение осведомленности о рисках и угрозах</w:t>
      </w:r>
    </w:p>
    <w:p w14:paraId="730749C3" w14:textId="77777777" w:rsidR="00DA60C6" w:rsidRDefault="0045219D">
      <w:pPr>
        <w:pStyle w:val="a3"/>
        <w:spacing w:before="120"/>
        <w:ind w:right="868"/>
      </w:pPr>
      <w:r>
        <w:t>Комиссия предложит проводить ежегодный День готовности ЕС в знак признания усилий национальных, региональных и местных органов власти и сообществ по повышению готовности и повышению осведомленности населения о потребностях в обеспечении готовности. Это будет дополнено другими коммуникационными действиями, такими как руководящие принципы информирования о различных рисках и ситуациях, включая потребности уязвимых групп населения, которые будут разработаны совместно с государствами-членами. Важную роль также сыграют информационно-просветительские программы, такие как гражданские панели, портал EUvsDisinfo, онлайн-кампании и наборы инструментов для стратегической коммуникации и противодействия манипулированию информацией.</w:t>
      </w:r>
    </w:p>
    <w:p w14:paraId="79A5BA71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Разработка руководящих принципов для достижения самодостаточности населения не менее 72 часов</w:t>
      </w:r>
    </w:p>
    <w:p w14:paraId="65EE83F3" w14:textId="77777777" w:rsidR="00DA60C6" w:rsidRDefault="0045219D">
      <w:pPr>
        <w:pStyle w:val="a3"/>
        <w:spacing w:before="121"/>
        <w:ind w:right="869"/>
      </w:pPr>
      <w:r>
        <w:t>В случае экстремальных сбоев начальный период является наиболее критичным. Комиссия предложит государствам-членам руководящие принципы для достижения самодостаточности населения не менее чем за 72 часа. В рамках инициативы PreparEU эти руководящие принципы будут охватывать хранение предметов первой необходимости, кризисное планирование, наличие жилья, меры по обеспечению доступности критически важных земельных участков и пространств и другие меры по защите людей, животных и имущества в случае кризиса и будут сопровождаться целевыми кампаниями и мероприятиями. Новая онлайн-платформа ЕС предоставит гражданам и путешественникам адаптированную и доступную информацию о рисках, с которыми они могут столкнуться, и практических шагах по снижению этих рисков.</w:t>
      </w:r>
    </w:p>
    <w:p w14:paraId="0A48E7B5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Включить вопросы подготовки в школьные учебные программы и подготовку педагогических кадров</w:t>
      </w:r>
    </w:p>
    <w:p w14:paraId="29EDC9D8" w14:textId="77777777" w:rsidR="00DA60C6" w:rsidRDefault="0045219D">
      <w:pPr>
        <w:pStyle w:val="a3"/>
        <w:spacing w:before="120"/>
        <w:ind w:right="872"/>
      </w:pPr>
      <w:r>
        <w:t>В соответствии с Союзом навыков, Комиссия разработает руководящие принципы по разработке учебных программ, начиная с дошкольного образования, для поддержки приобретения базовых навыков по обеспечению готовности, включая медиаграмотность, как ключ к активной и информированной гражданственности и борьбе с дезинформацией и манипулированием информацией. Учителя будут иметь доступ к ресурсам и возможностям профессионального развития на Европейской платформе школьного образования.</w:t>
      </w:r>
    </w:p>
    <w:p w14:paraId="22653B10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Повышение готовности в молодежных программах</w:t>
      </w:r>
    </w:p>
    <w:p w14:paraId="20979541" w14:textId="77777777" w:rsidR="00DA60C6" w:rsidRDefault="0045219D">
      <w:pPr>
        <w:pStyle w:val="a3"/>
        <w:spacing w:before="120"/>
        <w:ind w:right="871"/>
      </w:pPr>
      <w:r>
        <w:t>В молодежных программах ЕС, таких как Европейский корпус солидарности и Erasmus+, будет создан новый приоритет готовности, чтобы способствовать готовности, устойчивости, участию в демократической жизни и гражданской активности. Это будет основано на подходе «снизу вверх», поощряя организации и учреждения (университеты, школы, организации профессионального образования и обучения, центры образования взрослых, молодежные и спортивные организации и т. д.) подавать заявки на финансирование.</w:t>
      </w:r>
    </w:p>
    <w:p w14:paraId="72459A2E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</w:pPr>
      <w:r>
        <w:t>Привлечение талантов для повышения готовности ЕС</w:t>
      </w:r>
    </w:p>
    <w:p w14:paraId="7338C00F" w14:textId="77777777" w:rsidR="00DA60C6" w:rsidRDefault="0045219D">
      <w:pPr>
        <w:pStyle w:val="a3"/>
        <w:spacing w:before="120"/>
        <w:ind w:right="870"/>
      </w:pPr>
      <w:r>
        <w:t xml:space="preserve">Привлечение лучших исследовательских талантов в Европу – это не только возможность, но и необходимость для обеспечения долгосрочной устойчивости и готовности ЕС. В этом контексте ЕС в срочном порядке изучит конкретные меры по </w:t>
      </w:r>
      <w:r>
        <w:lastRenderedPageBreak/>
        <w:t>привлечению исследователей.</w:t>
      </w:r>
    </w:p>
    <w:p w14:paraId="632CE846" w14:textId="77777777" w:rsidR="00DA60C6" w:rsidRDefault="0045219D">
      <w:pPr>
        <w:pStyle w:val="a3"/>
        <w:spacing w:before="120"/>
        <w:ind w:right="872"/>
      </w:pPr>
      <w:r>
        <w:t>Кадровый резерв ЕС будет способствовать найму соискателей из-за пределов ЕС, что может облегчить подачу заявок на работу в ЕС квалифицированным работникам в критически важных секторах, связанных с подготовкой, где наблюдается дефицит. Партнерства по талантам также могут быть использованы для привлечения квалифицированных работников в критически важных секторах, связанных с подготовкой, а также для инвестирования в соответствующие навыки в странах-партнерах.</w:t>
      </w:r>
    </w:p>
    <w:p w14:paraId="4CD7A3C4" w14:textId="77777777" w:rsidR="00DA60C6" w:rsidRDefault="00DA60C6">
      <w:pPr>
        <w:pStyle w:val="a3"/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07B263FC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spacing w:before="60"/>
        <w:ind w:left="1734" w:hanging="359"/>
      </w:pPr>
      <w:r>
        <w:lastRenderedPageBreak/>
        <w:t>ГОСУДАРСТВЕННО-ЧАСТНОЕ СОТРУДНИЧЕСТВО</w:t>
      </w:r>
    </w:p>
    <w:p w14:paraId="61B25C7D" w14:textId="77777777" w:rsidR="00DA60C6" w:rsidRDefault="0045219D">
      <w:pPr>
        <w:pStyle w:val="a3"/>
        <w:spacing w:before="121"/>
        <w:ind w:right="869"/>
      </w:pPr>
      <w:r>
        <w:t>Государственно-частное сотрудничество является важнейшей опорой готовности ЕС, гарантируя, что ресурсы, опыт и инновации из всех секторов используются эффективно и результативно. Сельское хозяйство и рыболовство, промышленность и бизнес играют ключевую роль в поддержании жизненно важных социальных функций и основных услуг. В то же время частный сектор все больше подвержен климатическим и экологическим рискам и их растущим издержкам (например, расходы на страхование, потери активов и экономический ущерб из-за экстремальных погодных явлений), а также угрозам безопасности, таким как нарушение цепочек поставок и кибератаки. Способствуя государственно-частному сотрудничеству, ЕС может лучше прогнозировать риски, обеспечивать основные поставки и защищать свою стратегическую автономию.</w:t>
      </w:r>
    </w:p>
    <w:p w14:paraId="12930C1E" w14:textId="77777777" w:rsidR="00DA60C6" w:rsidRDefault="0045219D">
      <w:pPr>
        <w:pStyle w:val="3"/>
      </w:pPr>
      <w:r>
        <w:t>Активизация структурированного взаимодействия государственного и частного секторов по обеспечению готовности</w:t>
      </w:r>
    </w:p>
    <w:p w14:paraId="2E44932C" w14:textId="77777777" w:rsidR="00DA60C6" w:rsidRDefault="0045219D">
      <w:pPr>
        <w:pStyle w:val="a3"/>
        <w:spacing w:before="120"/>
        <w:ind w:right="867"/>
      </w:pPr>
      <w:r>
        <w:t>ЕС, органы государственной власти и промышленность должны укреплять механизмы для: (i) целенаправленного двустороннего обмена информацией; (ii) участие в инициативах по стратегическому прогнозированию или опережающим инициативам; iii) совместная подготовка; и (iv) скоординированное реагирование на кризисы. Опираясь на существующие договоренности, ЕС должен укреплять государственно-частное партнерство, чтобы обеспечить критически важные поставки и услуги посредством стратегических запасов, совместных закупок, рамочных контрактов, диверсификации источников и циркулярных решений, снижая риски от сбоев и потрясений на глобальных рынках. Кроме того, необходимо создать государственные и частные решения, чтобы справиться с растущей проблемой страхования от стихийных бедствий в ЕС. Ожидается, что разрыв в страховой защите еще больше увеличится из-за растущего риска, связанного с изменением климата. Комиссия изучит возможные решения для сокращения такого разрыва в страховой защите, при необходимости, следуя предложениям Европейского центрального банка и Европейского управления по страхованию и профессиональному пенсионному обеспечению.</w:t>
      </w:r>
    </w:p>
    <w:p w14:paraId="17CEC246" w14:textId="77777777" w:rsidR="00DA60C6" w:rsidRDefault="0045219D">
      <w:pPr>
        <w:pStyle w:val="a3"/>
        <w:spacing w:before="121"/>
        <w:ind w:right="875"/>
      </w:pPr>
      <w:r>
        <w:t>Существующие программы ЕС по инвестициям и наращиванию потенциала должны включать соображения готовности в свою поддержку бизнеса и государств-членов, дополняя политические меры по обоснованию готовности в экономических решениях</w:t>
      </w:r>
    </w:p>
    <w:p w14:paraId="71FFAF40" w14:textId="77777777" w:rsidR="00DA60C6" w:rsidRDefault="0045219D">
      <w:pPr>
        <w:pStyle w:val="a3"/>
        <w:spacing w:before="120"/>
        <w:ind w:right="873"/>
      </w:pPr>
      <w:r>
        <w:t>В соответствии с Союзом навыков, ЕС должен содействовать сотрудничеству между государственными и частными организациями в стратегических секторах, таких как кибербезопасность, обеспечивая согласованность потребностей в рабочей силе и образовательных предложений.</w:t>
      </w:r>
    </w:p>
    <w:p w14:paraId="78F31073" w14:textId="77777777" w:rsidR="00DA60C6" w:rsidRDefault="0045219D">
      <w:pPr>
        <w:pStyle w:val="2"/>
        <w:ind w:left="1015" w:firstLine="0"/>
      </w:pPr>
      <w:r>
        <w:t>Ключевые действия</w:t>
      </w:r>
    </w:p>
    <w:p w14:paraId="1FCB02B1" w14:textId="77777777" w:rsidR="00DA60C6" w:rsidRDefault="0045219D">
      <w:pPr>
        <w:pStyle w:val="a5"/>
        <w:numPr>
          <w:ilvl w:val="0"/>
          <w:numId w:val="1"/>
        </w:numPr>
        <w:tabs>
          <w:tab w:val="left" w:pos="1441"/>
        </w:tabs>
        <w:ind w:left="1441" w:hanging="426"/>
        <w:jc w:val="both"/>
        <w:rPr>
          <w:b/>
          <w:sz w:val="24"/>
        </w:rPr>
      </w:pPr>
      <w:r>
        <w:rPr>
          <w:b/>
          <w:sz w:val="24"/>
        </w:rPr>
        <w:t>Создание государственно-частной целевой группы по обеспечению готовности</w:t>
      </w:r>
    </w:p>
    <w:p w14:paraId="4A32FDF7" w14:textId="77777777" w:rsidR="00DA60C6" w:rsidRDefault="0045219D">
      <w:pPr>
        <w:pStyle w:val="a3"/>
        <w:spacing w:before="121"/>
        <w:ind w:right="868"/>
      </w:pPr>
      <w:r>
        <w:t>Комиссия создаст Целевую группу по обеспечению готовности, опираясь на Промышленный форум, Европейскую сеть предпринимательства, Европейскую сеть кластеров и другие существующие структуры</w:t>
      </w:r>
      <w:hyperlink w:anchor="_bookmark10" w:history="1">
        <w:r>
          <w:t>.</w:t>
        </w:r>
        <w:r>
          <w:rPr>
            <w:vertAlign w:val="superscript"/>
          </w:rPr>
          <w:t>11</w:t>
        </w:r>
      </w:hyperlink>
      <w:r>
        <w:rPr>
          <w:spacing w:val="40"/>
        </w:rPr>
        <w:t xml:space="preserve"> В нем примут участие ключевые заинтересованные стороны, представляющие органы государственной власти, промышленность, бизнес, финансовые услуги, научное сообщество, социальных партнеров и гражданское общество. Цель Целевой группы заключается в том, чтобы: (i) сотрудничать в укреплении управления непрерывностью жизнедеятельности и основных услуг;</w:t>
      </w:r>
    </w:p>
    <w:p w14:paraId="2145D961" w14:textId="77777777" w:rsidR="00DA60C6" w:rsidRDefault="0045219D">
      <w:pPr>
        <w:pStyle w:val="a3"/>
        <w:ind w:right="866"/>
      </w:pPr>
      <w:r>
        <w:t xml:space="preserve">(ii) обмен информацией об уязвимостях и сбоях в цепочке поставок; (iii) предоставление руководящих указаний, механизмов и стимулов для оказания помощи </w:t>
      </w:r>
      <w:r>
        <w:lastRenderedPageBreak/>
        <w:t>частным организациям в обеспечении минимальных требований к готовности; (iv) координировать действия по смягчению последствий в критически важных секторах, предоставляющих основные услуги, обеспечивающие жизненно важные функции общества, и (v) поддерживать усилия по коммуникации в кризисных ситуациях.</w:t>
      </w:r>
    </w:p>
    <w:p w14:paraId="0FB12041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Разработка государственно-частных протоколов действий в чрезвычайных ситуациях</w:t>
      </w:r>
    </w:p>
    <w:p w14:paraId="192F1211" w14:textId="77777777" w:rsidR="00DA60C6" w:rsidRDefault="0045219D">
      <w:pPr>
        <w:pStyle w:val="a3"/>
        <w:spacing w:before="120"/>
        <w:ind w:right="871"/>
      </w:pPr>
      <w:r>
        <w:t>Комиссия совместно с государствами-членами пересмотрит соответствующие законодательные и оперативные рамки, чтобы обеспечить целевую гибкость в чрезвычайных ситуациях, как правовую, так и финансовую.</w:t>
      </w:r>
    </w:p>
    <w:p w14:paraId="3DD4CF59" w14:textId="77777777" w:rsidR="00DA60C6" w:rsidRDefault="0045219D">
      <w:pPr>
        <w:pStyle w:val="a3"/>
        <w:spacing w:before="3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2FB717" wp14:editId="3D8FAE52">
                <wp:simplePos x="0" y="0"/>
                <wp:positionH relativeFrom="page">
                  <wp:posOffset>914704</wp:posOffset>
                </wp:positionH>
                <wp:positionV relativeFrom="paragraph">
                  <wp:posOffset>183871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4F2E" id="Graphic 14" o:spid="_x0000_s1026" style="position:absolute;margin-left:1in;margin-top:14.5pt;width:144.0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4GYNr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235383" w14:textId="77777777" w:rsidR="00DA60C6" w:rsidRDefault="0045219D">
      <w:pPr>
        <w:spacing w:before="221"/>
        <w:ind w:left="1015" w:right="878"/>
        <w:jc w:val="both"/>
        <w:rPr>
          <w:sz w:val="20"/>
        </w:rPr>
      </w:pPr>
      <w:bookmarkStart w:id="10" w:name="_bookmark10"/>
      <w:bookmarkEnd w:id="10"/>
      <w:r>
        <w:rPr>
          <w:sz w:val="20"/>
          <w:vertAlign w:val="superscript"/>
        </w:rPr>
        <w:t>11</w:t>
      </w:r>
      <w:r>
        <w:rPr>
          <w:sz w:val="20"/>
        </w:rPr>
        <w:t xml:space="preserve"> Европейская сеть кластеров – это сотрудничество отраслевых кластеров по всему ЕС, которое способствует инновациям, конкурентоспособности и устойчивости путем объединения предприятий, научно-исследовательских институтов и государственных органов. Она поддерживает межотраслевое сотрудничество, способствует обмену знаниями и повышает безопасность цепочек поставок, особенно в стратегических отраслях.</w:t>
      </w:r>
    </w:p>
    <w:p w14:paraId="6E479BAF" w14:textId="77777777" w:rsidR="00DA60C6" w:rsidRDefault="00DA60C6">
      <w:pPr>
        <w:jc w:val="both"/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4C2C7346" w14:textId="77777777" w:rsidR="00DA60C6" w:rsidRDefault="0045219D">
      <w:pPr>
        <w:pStyle w:val="a3"/>
        <w:spacing w:before="60"/>
        <w:ind w:right="869"/>
      </w:pPr>
      <w:r>
        <w:lastRenderedPageBreak/>
        <w:t>в том числе, при необходимости, правила государственных закупок. Это будет включать в себя обоснованные и ограниченные по времени исключения для обеспечения быстрой доступности критически важных материалов, товаров и услуг, а также для обеспечения безопасности критически важных производственных линий. С помощью чрезвычайных протоколов и в рамках Целевой группы по обеспечению готовности государственного и частного секторов Комиссия и государства-члены ЕС разработают скоординированную структуру взаимодействия по обеспечению готовности критически важных субъектов частного сектора.</w:t>
      </w:r>
    </w:p>
    <w:p w14:paraId="604F1114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</w:pPr>
      <w:r>
        <w:t>Пересмотр системы государственных закупок</w:t>
      </w:r>
    </w:p>
    <w:p w14:paraId="544F2580" w14:textId="77777777" w:rsidR="00DA60C6" w:rsidRDefault="0045219D">
      <w:pPr>
        <w:pStyle w:val="a3"/>
        <w:spacing w:before="120"/>
        <w:ind w:right="872"/>
      </w:pPr>
      <w:r>
        <w:t>Комиссия внесет предложение о пересмотре Концепции государственных закупок на основе действующей системы и уроков, извлеченных во время прошлых кризисов, включая опыт COVID-19. Пересмотр будет направлен на повышение готовности, в частности, за счет усиления безопасности поставок по ключевым производственно-сбытовым цепочкам, особенно в периоды кризисов. Уже сейчас действуют конкретные положения на случай чрезвычайных ситуаций; Например, заказчики могут сократить сроки для ускорения процедур.</w:t>
      </w:r>
    </w:p>
    <w:p w14:paraId="7B5E754A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</w:pPr>
      <w:r>
        <w:t>Создание Европейского экспертного центра по безопасности научных исследований</w:t>
      </w:r>
    </w:p>
    <w:p w14:paraId="71C69742" w14:textId="77777777" w:rsidR="00DA60C6" w:rsidRDefault="0045219D">
      <w:pPr>
        <w:pStyle w:val="a3"/>
        <w:spacing w:before="121"/>
        <w:ind w:right="867"/>
      </w:pPr>
      <w:r>
        <w:t>Научные исследования и инновации (НИО) особенно уязвимы к иностранному вмешательству, рискам безопасности и гибридным угрозам. В соответствии с рекомендацией Совета ЕС об усилении безопасности научных исследований</w:t>
      </w:r>
      <w:hyperlink w:anchor="_bookmark11" w:history="1">
        <w:r>
          <w:rPr>
            <w:vertAlign w:val="superscript"/>
          </w:rPr>
          <w:t>12</w:t>
        </w:r>
      </w:hyperlink>
      <w:r>
        <w:t>, Комиссия создаст Европейский экспертный центр по безопасности научных исследований, который будет собирать доказательства и оказывать поддержку государствам-членам и субъектам НИО.</w:t>
      </w:r>
    </w:p>
    <w:p w14:paraId="6AA5B716" w14:textId="77777777" w:rsidR="00DA60C6" w:rsidRDefault="00DA60C6">
      <w:pPr>
        <w:pStyle w:val="a3"/>
        <w:spacing w:before="240"/>
        <w:ind w:left="0"/>
        <w:jc w:val="left"/>
      </w:pPr>
    </w:p>
    <w:p w14:paraId="726DA76C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ind w:left="1734" w:hanging="359"/>
      </w:pPr>
      <w:r>
        <w:t>ВОЕННО-ГРАЖДАНСКОЕ СОТРУДНИЧЕСТВО</w:t>
      </w:r>
    </w:p>
    <w:p w14:paraId="73BCD1AB" w14:textId="77777777" w:rsidR="00DA60C6" w:rsidRDefault="0045219D">
      <w:pPr>
        <w:pStyle w:val="a3"/>
        <w:spacing w:before="120"/>
        <w:ind w:right="868"/>
      </w:pPr>
      <w:r>
        <w:t>Мы должны быть готовы к крупномасштабным межсекторальным инцидентам и кризисам, включая возможность вооруженной агрессии, затрагивающей одно или несколько государств-членов. В большинстве кризисных сценариев основную ответственность несут национальные гражданские власти. Во все большем числе сценариев (например, чрезвычайные ситуации в области здравоохранения, экстремальные погодные явления, гибридные и кибератаки) гражданские власти нуждаются в военной поддержке. В случае вооруженной агрессии вооруженным силам потребуется гражданская поддержка для обеспечения непрерывного функционирования государства и общества. Поэтому нам необходимо улучшить взаимодействие между гражданскими и военными субъектами, не ставя под сомнение их соответствующие компетенции и в полном сотрудничестве с государствами-членами.</w:t>
      </w:r>
    </w:p>
    <w:p w14:paraId="2DC47BA4" w14:textId="77777777" w:rsidR="00DA60C6" w:rsidRDefault="0045219D">
      <w:pPr>
        <w:pStyle w:val="3"/>
        <w:spacing w:before="121"/>
      </w:pPr>
      <w:r>
        <w:t>Разработка стратегического и устойчивого сдерживания</w:t>
      </w:r>
    </w:p>
    <w:p w14:paraId="65C8196B" w14:textId="77777777" w:rsidR="00DA60C6" w:rsidRDefault="0045219D">
      <w:pPr>
        <w:pStyle w:val="a3"/>
        <w:spacing w:before="120"/>
        <w:ind w:right="870"/>
      </w:pPr>
      <w:r>
        <w:t>Чтобы предотвращать, сдерживать и более эффективно реагировать на инциденты и кризисы в области безопасности, а также сдерживать злоумышленников, ЕС необходимо использовать весь спектр своих инструментов, включая: (i) кибердипломатию; (ii) Инструментарий FIMI; (iii) гибридные инструментарий и (iv) архитектура механизма реагирования на космические угрозы; а также (v) оборонительные возможности, доступные гражданскому и военному сообществу, включая, когда это уместно, упреждающие оборонительные меры в соответствии с международным правом.</w:t>
      </w:r>
    </w:p>
    <w:p w14:paraId="48840BB7" w14:textId="77777777" w:rsidR="00DA60C6" w:rsidRDefault="0045219D">
      <w:pPr>
        <w:pStyle w:val="a3"/>
        <w:spacing w:before="120"/>
        <w:ind w:right="867"/>
      </w:pPr>
      <w:r>
        <w:t xml:space="preserve">Верховный представитель ЕС и Комиссия разработают стратегии по предотвращению, сдерживанию и реагированию на конкретные угрозы, нацеленные на ЕС, посредством </w:t>
      </w:r>
      <w:r>
        <w:lastRenderedPageBreak/>
        <w:t>гибридной, кибернетической деятельности и деятельности FIMI. Тесная координация с</w:t>
      </w:r>
      <w:hyperlink w:anchor="_bookmark12" w:history="1">
        <w:r>
          <w:rPr>
            <w:vertAlign w:val="superscript"/>
          </w:rPr>
          <w:t xml:space="preserve">13-й страной НАТО </w:t>
        </w:r>
      </w:hyperlink>
      <w:r>
        <w:t xml:space="preserve"> и другими партнерами-единомышленниками необходима для усиления воздействия и отпугивания субъектов угрозы.</w:t>
      </w:r>
    </w:p>
    <w:p w14:paraId="0CC25043" w14:textId="77777777" w:rsidR="00DA60C6" w:rsidRDefault="00DA60C6">
      <w:pPr>
        <w:pStyle w:val="a3"/>
        <w:ind w:left="0"/>
        <w:jc w:val="left"/>
        <w:rPr>
          <w:sz w:val="20"/>
        </w:rPr>
      </w:pPr>
    </w:p>
    <w:p w14:paraId="158DD995" w14:textId="77777777" w:rsidR="00DA60C6" w:rsidRDefault="0045219D">
      <w:pPr>
        <w:pStyle w:val="a3"/>
        <w:spacing w:before="8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1F45C6" wp14:editId="66C4896E">
                <wp:simplePos x="0" y="0"/>
                <wp:positionH relativeFrom="page">
                  <wp:posOffset>914704</wp:posOffset>
                </wp:positionH>
                <wp:positionV relativeFrom="paragraph">
                  <wp:posOffset>213078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2E094" id="Graphic 15" o:spid="_x0000_s1026" style="position:absolute;margin-left:1in;margin-top:16.8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MpmBBr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E0E84A" w14:textId="77777777" w:rsidR="00DA60C6" w:rsidRDefault="0045219D">
      <w:pPr>
        <w:tabs>
          <w:tab w:val="left" w:pos="1396"/>
          <w:tab w:val="left" w:pos="2281"/>
          <w:tab w:val="left" w:pos="3941"/>
          <w:tab w:val="left" w:pos="4392"/>
          <w:tab w:val="left" w:pos="5463"/>
          <w:tab w:val="left" w:pos="6379"/>
          <w:tab w:val="left" w:pos="7575"/>
        </w:tabs>
        <w:spacing w:before="221"/>
        <w:ind w:left="1015" w:right="883"/>
        <w:rPr>
          <w:sz w:val="20"/>
        </w:rPr>
      </w:pPr>
      <w:bookmarkStart w:id="11" w:name="_bookmark11"/>
      <w:bookmarkEnd w:id="11"/>
      <w:r>
        <w:rPr>
          <w:spacing w:val="-6"/>
          <w:sz w:val="20"/>
          <w:vertAlign w:val="superscript"/>
        </w:rPr>
        <w:t>12</w:t>
      </w:r>
      <w:r>
        <w:rPr>
          <w:sz w:val="20"/>
        </w:rPr>
        <w:tab/>
      </w:r>
      <w:r>
        <w:rPr>
          <w:spacing w:val="-2"/>
          <w:sz w:val="20"/>
        </w:rPr>
        <w:t>Совет</w:t>
      </w:r>
      <w:r>
        <w:rPr>
          <w:sz w:val="20"/>
        </w:rPr>
        <w:tab/>
      </w:r>
      <w:r>
        <w:rPr>
          <w:spacing w:val="-2"/>
          <w:sz w:val="20"/>
        </w:rPr>
        <w:t>Рекомендация</w:t>
      </w:r>
      <w:r>
        <w:rPr>
          <w:sz w:val="20"/>
        </w:rPr>
        <w:tab/>
      </w:r>
      <w:r>
        <w:rPr>
          <w:spacing w:val="-6"/>
          <w:sz w:val="20"/>
        </w:rPr>
        <w:t>на</w:t>
      </w:r>
      <w:r>
        <w:rPr>
          <w:sz w:val="20"/>
        </w:rPr>
        <w:tab/>
      </w:r>
      <w:r>
        <w:rPr>
          <w:spacing w:val="-2"/>
          <w:sz w:val="20"/>
        </w:rPr>
        <w:t>Повышения</w:t>
      </w:r>
      <w:r>
        <w:rPr>
          <w:sz w:val="20"/>
        </w:rPr>
        <w:tab/>
      </w:r>
      <w:r>
        <w:rPr>
          <w:spacing w:val="-2"/>
          <w:sz w:val="20"/>
        </w:rPr>
        <w:t>исследование</w:t>
      </w:r>
      <w:r>
        <w:rPr>
          <w:sz w:val="20"/>
        </w:rPr>
        <w:tab/>
      </w:r>
      <w:r>
        <w:rPr>
          <w:spacing w:val="-2"/>
          <w:sz w:val="20"/>
        </w:rPr>
        <w:t>безопасность:</w:t>
      </w:r>
      <w:r>
        <w:rPr>
          <w:sz w:val="20"/>
        </w:rPr>
        <w:tab/>
      </w:r>
      <w:hyperlink r:id="rId16">
        <w:r>
          <w:rPr>
            <w:color w:val="467885"/>
            <w:spacing w:val="-2"/>
            <w:sz w:val="20"/>
            <w:u w:val="single" w:color="467885"/>
          </w:rPr>
          <w:t>https://eur-lex.europa.eu/legal-</w:t>
        </w:r>
      </w:hyperlink>
      <w:r>
        <w:rPr>
          <w:color w:val="467885"/>
          <w:spacing w:val="-2"/>
          <w:sz w:val="20"/>
        </w:rPr>
        <w:t xml:space="preserve"> </w:t>
      </w:r>
      <w:hyperlink r:id="rId17">
        <w:r>
          <w:rPr>
            <w:color w:val="467885"/>
            <w:spacing w:val="-2"/>
            <w:sz w:val="20"/>
            <w:u w:val="single" w:color="467885"/>
          </w:rPr>
          <w:t>content/EN/TXT/?uri=OJ:C_202403510</w:t>
        </w:r>
        <w:r>
          <w:rPr>
            <w:spacing w:val="-2"/>
            <w:sz w:val="20"/>
          </w:rPr>
          <w:t>.</w:t>
        </w:r>
      </w:hyperlink>
    </w:p>
    <w:p w14:paraId="383C63CE" w14:textId="77777777" w:rsidR="00DA60C6" w:rsidRDefault="0045219D">
      <w:pPr>
        <w:spacing w:before="1"/>
        <w:ind w:left="1015" w:right="883"/>
        <w:rPr>
          <w:sz w:val="20"/>
        </w:rPr>
      </w:pPr>
      <w:bookmarkStart w:id="12" w:name="_bookmark12"/>
      <w:bookmarkEnd w:id="12"/>
      <w:r>
        <w:rPr>
          <w:sz w:val="20"/>
          <w:vertAlign w:val="superscript"/>
        </w:rPr>
        <w:t>13</w:t>
      </w:r>
      <w:r>
        <w:rPr>
          <w:sz w:val="20"/>
        </w:rPr>
        <w:t xml:space="preserve"> В полном соответствии с согласованными руководящими принципами прозрачности, взаимности и инклюзивности, а также автономии и процедурах принятия решений обеих организаций.</w:t>
      </w:r>
    </w:p>
    <w:p w14:paraId="7FCDB8AA" w14:textId="77777777" w:rsidR="00DA60C6" w:rsidRDefault="00DA60C6">
      <w:pPr>
        <w:rPr>
          <w:sz w:val="20"/>
        </w:rPr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12324201" w14:textId="77777777" w:rsidR="00DA60C6" w:rsidRDefault="0045219D">
      <w:pPr>
        <w:pStyle w:val="3"/>
        <w:spacing w:before="60"/>
      </w:pPr>
      <w:r>
        <w:lastRenderedPageBreak/>
        <w:t>Обеспечение более тесной взаимодействия между гражданскими и военными</w:t>
      </w:r>
    </w:p>
    <w:p w14:paraId="2D1AD7BD" w14:textId="77777777" w:rsidR="00DA60C6" w:rsidRDefault="0045219D">
      <w:pPr>
        <w:pStyle w:val="a3"/>
        <w:spacing w:before="121"/>
        <w:ind w:right="870"/>
      </w:pPr>
      <w:r>
        <w:t>ЕС будет и дальше вводить в действие положения о взаимной помощи (статья 42(7) Договора о Европейском союзе) и солидарности (статья 222 TFEU) и укреплять сотрудничество между ЕС и НАТО, в том числе в случае активации статьи 5 Североатлантического договора. Кроме того, для того, чтобы действовать совместно в духе солидарности, как это предусмотрено ст. 222 TFEU, ЕС должен иметь возможность использовать все имеющиеся средства и активы для поддержки государств-членов. Это может включать военные ресурсы, обычно предоставляемые государствами-членами.</w:t>
      </w:r>
    </w:p>
    <w:p w14:paraId="79D32A0D" w14:textId="77777777" w:rsidR="00DA60C6" w:rsidRDefault="0045219D">
      <w:pPr>
        <w:pStyle w:val="3"/>
      </w:pPr>
      <w:r>
        <w:t>Пропагандировать двойное назначение по замыслу</w:t>
      </w:r>
    </w:p>
    <w:p w14:paraId="35011DFF" w14:textId="77777777" w:rsidR="00DA60C6" w:rsidRDefault="0045219D">
      <w:pPr>
        <w:pStyle w:val="a3"/>
        <w:spacing w:before="120"/>
        <w:ind w:right="867"/>
      </w:pPr>
      <w:r>
        <w:t>ЕС должен интегрировать соображения двойного назначения во все свои инвестиции в инфраструктуру и планирование возможностей (где «двойное назначение» означает возможность использования как военными, так и гражданскими органами), такие как военная мобильность, массовая эвакуация, защищенная связь и связь, морская безопасность, кибервозможности, а также космические активы и услуги. Опираясь на предпринимаемые усилия Комиссии и Европейского оборонного агентства (EDA), ЕС должен продолжать продвигать инфраструктуру двойного назначения, системы связи, транспортные средства, оборудование, запасы, медицинские контрмеры, энергоснабжение и технологии, которые поддерживают как гражданские, так и военные потребности.</w:t>
      </w:r>
    </w:p>
    <w:p w14:paraId="06E8A16C" w14:textId="77777777" w:rsidR="00DA60C6" w:rsidRDefault="0045219D">
      <w:pPr>
        <w:pStyle w:val="2"/>
        <w:spacing w:before="121"/>
        <w:ind w:left="1015" w:firstLine="0"/>
      </w:pPr>
      <w:r>
        <w:t>Ключевые действия</w:t>
      </w:r>
    </w:p>
    <w:p w14:paraId="25856149" w14:textId="77777777" w:rsidR="00DA60C6" w:rsidRDefault="0045219D">
      <w:pPr>
        <w:pStyle w:val="a5"/>
        <w:numPr>
          <w:ilvl w:val="0"/>
          <w:numId w:val="1"/>
        </w:numPr>
        <w:tabs>
          <w:tab w:val="left" w:pos="1441"/>
        </w:tabs>
        <w:ind w:left="1441" w:hanging="426"/>
        <w:jc w:val="both"/>
        <w:rPr>
          <w:b/>
          <w:sz w:val="24"/>
        </w:rPr>
      </w:pPr>
      <w:r>
        <w:rPr>
          <w:b/>
          <w:sz w:val="24"/>
        </w:rPr>
        <w:t>Создание всеобъемлющих механизмов гражданско-военной готовности</w:t>
      </w:r>
    </w:p>
    <w:p w14:paraId="08F1F814" w14:textId="77777777" w:rsidR="00DA60C6" w:rsidRDefault="0045219D">
      <w:pPr>
        <w:pStyle w:val="a3"/>
        <w:spacing w:before="120"/>
        <w:ind w:right="868"/>
      </w:pPr>
      <w:r>
        <w:t>Комиссия и Верховный представитель ЕС разработают меры по гражданско-военной готовности, которые прояснят роли, обязанности и приоритеты институтов, органов и агентств ЕС, а также государств-членов ЕС по подготовке и реагированию на инциденты и кризисы. Это будет дополнено стандартными операционными процедурами для усиления координации между субъектами ЕС и государствами-членами. Он будет основываться на проектах в рамках Постоянного структурированного сотрудничества (PESCO), Белой книги по европейской оборонной готовности к 2030 году, а также на существующем анализе пробелов в устойчивости и потенциале реагирования в рамках UCPM и Каталога прогресса в области военных целей. Работа Комиссии по созданию Европейского механизма гражданской обороны также будет способствовать этим договоренностям.</w:t>
      </w:r>
    </w:p>
    <w:p w14:paraId="45C6C07A" w14:textId="77777777" w:rsidR="00DA60C6" w:rsidRDefault="0045219D">
      <w:pPr>
        <w:pStyle w:val="a3"/>
        <w:spacing w:before="120"/>
        <w:ind w:right="871"/>
      </w:pPr>
      <w:r>
        <w:t>ЕС будет и далее укреплять оперативное сотрудничество на уровне штабов с НАТО во всех кризисных ситуациях, от гибридных кампаний до вооруженной агрессии.</w:t>
      </w:r>
    </w:p>
    <w:p w14:paraId="74D2DE69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</w:pPr>
      <w:r>
        <w:t>Разработка стандартов для планирования и инвестирования в гражданско-военные объекты двойного назначения</w:t>
      </w:r>
    </w:p>
    <w:p w14:paraId="58AB5708" w14:textId="77777777" w:rsidR="00DA60C6" w:rsidRDefault="0045219D">
      <w:pPr>
        <w:pStyle w:val="a3"/>
        <w:spacing w:before="120"/>
        <w:ind w:right="871"/>
      </w:pPr>
      <w:r>
        <w:t xml:space="preserve">Комиссия и Высокий представитель в сотрудничестве с государствами-членами определят инфраструктуру и активы двойного назначения в государствах-членах для обеспечения того, чтобы инвестиции поддерживали устойчивость гражданского населения, общественную безопасность и военные потребности взаимодополняющим образом, исходя из военных потребностей. Кроме того, Комиссия определит стандарты для действий двойного назначения, которые учитывают как гражданские, так и военные потребности на этапе их разработки и планирования. Комиссия и Верховный представитель будут содействовать тому, чтобы государства-члены при строительстве или модернизации инфраструктуры трансъевропейской транспортной сети учитывали необходимость, актуальность и целесообразность выхода за рамки стандартов гражданского транспорта с целью размещения веса, размера или масштаба военных </w:t>
      </w:r>
      <w:r>
        <w:lastRenderedPageBreak/>
        <w:t>перевозок войск и материальных средств в соответствии с военными требованиями НАТО. Внимание будет уделено конкретным требованиям и последствиям в соответствии с международным правом, включая международное гуманитарное право.</w:t>
      </w:r>
    </w:p>
    <w:p w14:paraId="4036B588" w14:textId="77777777" w:rsidR="00DA60C6" w:rsidRDefault="0045219D">
      <w:pPr>
        <w:pStyle w:val="a3"/>
        <w:spacing w:before="120"/>
        <w:ind w:right="873"/>
      </w:pPr>
      <w:r>
        <w:t>ЕС будет стремиться разрабатывать и продвигать технические стандарты, принимая во внимание существующие стандарты НАТО, где это применимо, для проектирования инфраструктуры, активов и продукции с потенциалом двойного назначения.</w:t>
      </w:r>
    </w:p>
    <w:p w14:paraId="0DDF0444" w14:textId="77777777" w:rsidR="00DA60C6" w:rsidRDefault="00DA60C6">
      <w:pPr>
        <w:pStyle w:val="a3"/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3FB360B9" w14:textId="77777777" w:rsidR="00DA60C6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60"/>
        <w:ind w:left="1441" w:hanging="426"/>
        <w:jc w:val="both"/>
      </w:pPr>
      <w:r>
        <w:lastRenderedPageBreak/>
        <w:t>Организовывать регулярные учения ЕС для содействия всесторонней готовности</w:t>
      </w:r>
    </w:p>
    <w:p w14:paraId="5F925FA3" w14:textId="77777777" w:rsidR="00DA60C6" w:rsidRDefault="0045219D">
      <w:pPr>
        <w:pStyle w:val="a3"/>
        <w:spacing w:before="121"/>
        <w:ind w:right="871"/>
      </w:pPr>
      <w:r>
        <w:t>Комиссия и Верховный представитель ЕС будут организовывать регулярные всесторонние и межсекторальные учения по обеспечению готовности в масштабах всего ЕС. Целью этих учений будет проверка процесса принятия решений, координации и оперативного реагирования в ЕС и между секторами, в том числе в рамках Статьи 42(7) Договора о Европейском Союзе и Статьи 222 TFEU. В ходе учений государствам-членам также будет предложено подключиться к своим национальным учениям, способствуя трансграничному сотрудничеству и согласованию усилий. В Комиссии и Совете будут организованы конкретные обмены мнениями на основе сценариев для тестирования и совершенствования процедур принятия решений по сложным и крупным кризисам, а также для выявления структурных уязвимостей. Там, где это уместно, в учениях примут участие частный сектор и международные партнеры ЕС.</w:t>
      </w:r>
    </w:p>
    <w:p w14:paraId="0D6BE688" w14:textId="77777777" w:rsidR="00DA60C6" w:rsidRDefault="00DA60C6">
      <w:pPr>
        <w:pStyle w:val="a3"/>
        <w:spacing w:before="240"/>
        <w:ind w:left="0"/>
        <w:jc w:val="left"/>
      </w:pPr>
    </w:p>
    <w:p w14:paraId="7F779B9C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ind w:left="1734" w:hanging="359"/>
      </w:pPr>
      <w:r>
        <w:t>РЕАГИРОВАНИЕ НА КРИЗИСНЫЕ СИТУАЦИИ</w:t>
      </w:r>
    </w:p>
    <w:p w14:paraId="2A99B652" w14:textId="77777777" w:rsidR="00DA60C6" w:rsidRDefault="0045219D">
      <w:pPr>
        <w:pStyle w:val="a3"/>
        <w:spacing w:before="120"/>
        <w:ind w:right="871"/>
      </w:pPr>
      <w:r>
        <w:t>Эффективная координация антикризисного реагирования имеет жизненно важное значение во время чрезвычайных ситуаций. За последнее десятилетие было создано все большее число структур и инструментов ЕС для поддержки государств-членов до, во время и после кризиса.</w:t>
      </w:r>
    </w:p>
    <w:p w14:paraId="65F42AFF" w14:textId="77777777" w:rsidR="00DA60C6" w:rsidRDefault="0045219D">
      <w:pPr>
        <w:pStyle w:val="a3"/>
        <w:spacing w:before="121"/>
        <w:ind w:right="870"/>
      </w:pPr>
      <w:r>
        <w:t>В Комиссии ERCC уже играет центральную роль во время кризисов, природных и антропогенных катастроф. В этих ситуациях он поддерживает как институты ЕС, так и государства-члены ЕС. ERCC обеспечивает оперативный потенциал UCPM в режиме 24/7, как в плане готовности, так и реагирования, и обслуживает государства-члены и ЕС, когда активируются механизмы комплексного реагирования на политические кризисы (IPCR) или применяется Положение о солидарности.</w:t>
      </w:r>
    </w:p>
    <w:p w14:paraId="63227637" w14:textId="77777777" w:rsidR="00DA60C6" w:rsidRDefault="0045219D">
      <w:pPr>
        <w:pStyle w:val="a3"/>
        <w:spacing w:before="120"/>
        <w:ind w:right="869"/>
      </w:pPr>
      <w:r>
        <w:t>В ЕСВС различные механизмы обеспечивают скоординированное и своевременное реагирование ЕС на внешние кризисы и чрезвычайные ситуации, затрагивающие интересы безопасности ЕС. Среди этих механизмов Центр кризисного реагирования (CRC) выполняет обязанность заботиться о безопасности сотрудников ЕС, непрерывности деятельности делегаций в кризисных ситуациях и поддержке государств-членов в случае консульского кризиса. Он обеспечивает согласованность и координацию в сборе информации для ситуационной осведомленности в кризисной ситуации, объединяя все соответствующие службы под руководством Верховного представителя.</w:t>
      </w:r>
    </w:p>
    <w:p w14:paraId="3C1E064E" w14:textId="77777777" w:rsidR="00DA60C6" w:rsidRDefault="0045219D">
      <w:pPr>
        <w:pStyle w:val="a3"/>
        <w:spacing w:before="120"/>
        <w:ind w:right="874"/>
      </w:pPr>
      <w:r>
        <w:t>В Совете механизмы МГСР поддерживают скоординированное принятие решений по крупным и сложным кризисам. Они способствуют обмену ситуационной осведомленностью между государствами-членами и институтами ЕС и в последние годы продемонстрировали гибкость и масштабируемость.</w:t>
      </w:r>
    </w:p>
    <w:p w14:paraId="66E4AE82" w14:textId="77777777" w:rsidR="00DA60C6" w:rsidRDefault="0045219D">
      <w:pPr>
        <w:pStyle w:val="a3"/>
        <w:spacing w:before="121"/>
        <w:ind w:right="877"/>
      </w:pPr>
      <w:r>
        <w:t>Большинство из этих механизмов по-прежнему базируются в одной области политики, в то время как кризисы становятся все более взаимосвязанными. В связи с этим возникает необходимость в обеспечении большей координации существующих механизмов и инструментов.</w:t>
      </w:r>
    </w:p>
    <w:p w14:paraId="6E0798B3" w14:textId="77777777" w:rsidR="00DA60C6" w:rsidRDefault="0045219D">
      <w:pPr>
        <w:pStyle w:val="3"/>
      </w:pPr>
      <w:r>
        <w:t>Совершенствование координации и потенциала централизованного и межсекторального реагирования на кризисы</w:t>
      </w:r>
    </w:p>
    <w:p w14:paraId="347A0550" w14:textId="77777777" w:rsidR="00DA60C6" w:rsidRDefault="0045219D">
      <w:pPr>
        <w:pStyle w:val="a3"/>
        <w:spacing w:before="120"/>
        <w:ind w:right="870"/>
      </w:pPr>
      <w:r>
        <w:t xml:space="preserve">ЕС необходимо усилить свою кризисную координацию, опираясь на существующие структуры. Механизмы координации, такие как МПКР, внутренний механизм координации кризисных ситуаций Комиссии ARGUS, ее ERCC и КПР ЕСВС, должны быть усовершенствованы, чтобы противостоять предстоящим вызовам. Оптимизация </w:t>
      </w:r>
      <w:r>
        <w:lastRenderedPageBreak/>
        <w:t>механизмов МПКР улучшит возможности ЕС и его государств-членов по реализации Положения о солидарности (статья 222 TFEU), а также упростит его активацию.</w:t>
      </w:r>
    </w:p>
    <w:p w14:paraId="482A9252" w14:textId="77777777" w:rsidR="00DA60C6" w:rsidRDefault="0045219D">
      <w:pPr>
        <w:pStyle w:val="a3"/>
        <w:spacing w:before="120"/>
        <w:ind w:right="873"/>
      </w:pPr>
      <w:r>
        <w:t>ЕС должен продолжать укреплять свои возможности реагирования и стратегические резервы на кризисные ситуации, включая запасы и развертываемые средства, чтобы восполнить критический дефицит и обеспечить быстрое реагирование, в том числе на гибридные атаки. Это включает в себя защищенные каналы связи и создание Европейской системы критической связи.</w:t>
      </w:r>
    </w:p>
    <w:p w14:paraId="243C3FD6" w14:textId="77777777" w:rsidR="00DA60C6" w:rsidRDefault="00DA60C6">
      <w:pPr>
        <w:pStyle w:val="a3"/>
        <w:sectPr w:rsidR="00DA60C6">
          <w:pgSz w:w="11910" w:h="16840"/>
          <w:pgMar w:top="1360" w:right="566" w:bottom="920" w:left="425" w:header="0" w:footer="727" w:gutter="0"/>
          <w:cols w:space="720"/>
        </w:sectPr>
      </w:pPr>
    </w:p>
    <w:p w14:paraId="3669CBBC" w14:textId="77777777" w:rsidR="00DA60C6" w:rsidRPr="007A6A0F" w:rsidRDefault="0045219D">
      <w:pPr>
        <w:pStyle w:val="a3"/>
        <w:spacing w:before="60"/>
        <w:ind w:right="871"/>
        <w:rPr>
          <w:lang w:val="ru-RU"/>
        </w:rPr>
      </w:pPr>
      <w:r w:rsidRPr="007A6A0F">
        <w:rPr>
          <w:lang w:val="ru-RU"/>
        </w:rPr>
        <w:lastRenderedPageBreak/>
        <w:t>Работа над созданием Европейского механизма гражданской обороны должна способствовать дальнейшему укреплению потенциала межсекторального реагирования. Внешние действия ЕС должны быть более эффективно связаны с внутренними возможностями реагирования на кризисы.</w:t>
      </w:r>
    </w:p>
    <w:p w14:paraId="13B9C0B8" w14:textId="77777777" w:rsidR="00DA60C6" w:rsidRDefault="0045219D">
      <w:pPr>
        <w:pStyle w:val="2"/>
        <w:spacing w:before="121"/>
        <w:ind w:left="1015" w:firstLine="0"/>
      </w:pPr>
      <w:r>
        <w:t>Ключевые действия</w:t>
      </w:r>
    </w:p>
    <w:p w14:paraId="58230904" w14:textId="77777777" w:rsidR="00DA60C6" w:rsidRPr="007A6A0F" w:rsidRDefault="0045219D">
      <w:pPr>
        <w:pStyle w:val="a5"/>
        <w:numPr>
          <w:ilvl w:val="0"/>
          <w:numId w:val="1"/>
        </w:numPr>
        <w:tabs>
          <w:tab w:val="left" w:pos="1441"/>
        </w:tabs>
        <w:ind w:left="1441" w:hanging="426"/>
        <w:jc w:val="both"/>
        <w:rPr>
          <w:b/>
          <w:sz w:val="24"/>
          <w:lang w:val="ru-RU"/>
        </w:rPr>
      </w:pPr>
      <w:r w:rsidRPr="007A6A0F">
        <w:rPr>
          <w:b/>
          <w:sz w:val="24"/>
          <w:lang w:val="ru-RU"/>
        </w:rPr>
        <w:t>Создание центра координации кризисных ситуаций в ЕС</w:t>
      </w:r>
    </w:p>
    <w:p w14:paraId="531DC4CE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 xml:space="preserve">Комиссия создаст центр координации кризисных ситуаций ЕС, опираясь на структуры и опыт </w:t>
      </w:r>
      <w:r>
        <w:t>ERCC</w:t>
      </w:r>
      <w:r w:rsidRPr="007A6A0F">
        <w:rPr>
          <w:lang w:val="ru-RU"/>
        </w:rPr>
        <w:t xml:space="preserve">. </w:t>
      </w:r>
      <w:r>
        <w:t>ERCC</w:t>
      </w:r>
      <w:r w:rsidRPr="007A6A0F">
        <w:rPr>
          <w:lang w:val="ru-RU"/>
        </w:rPr>
        <w:t xml:space="preserve"> продолжит выполнять свои функции гражданской защиты, которые будут по-прежнему иметь решающее значение для реагирования на кризисы. Его цель заключается в продолжении и дальнейшем расширении поддержки государств-членов в управлении межсекторальными последствиями кризисов на основе более эффективного планирования, более всестороннего анализа и ситуационной осведомленности.</w:t>
      </w:r>
    </w:p>
    <w:p w14:paraId="3813F152" w14:textId="77777777" w:rsidR="00DA60C6" w:rsidRPr="007A6A0F" w:rsidRDefault="0045219D">
      <w:pPr>
        <w:pStyle w:val="a3"/>
        <w:spacing w:before="120"/>
        <w:ind w:right="866"/>
        <w:rPr>
          <w:lang w:val="ru-RU"/>
        </w:rPr>
      </w:pPr>
      <w:r w:rsidRPr="007A6A0F">
        <w:rPr>
          <w:lang w:val="ru-RU"/>
        </w:rPr>
        <w:t xml:space="preserve">Центр координации кризисных ситуаций ЕС в рамках </w:t>
      </w:r>
      <w:r>
        <w:t>ERCC</w:t>
      </w:r>
      <w:r w:rsidRPr="007A6A0F">
        <w:rPr>
          <w:lang w:val="ru-RU"/>
        </w:rPr>
        <w:t xml:space="preserve"> будет играть роль как внутри Комиссии, так и в поддержке партнеров в государствах-членах, уделяя особое внимание прогнозированию и управлению последствиями кризисов в различных секторах. Чтобы более эффективно увязывать внешние действия с реагированием на внутренние кризисы, центр координации кризисов ЕС будет тесно координировать свои действия с ЕСВС и, в частности, с КПР. Без ущерба для роли ЕСВС, центр координации кризисных ситуаций будет: (</w:t>
      </w:r>
      <w:r>
        <w:t>i</w:t>
      </w:r>
      <w:r w:rsidRPr="007A6A0F">
        <w:rPr>
          <w:lang w:val="ru-RU"/>
        </w:rPr>
        <w:t>) работать над достижением общего понимания кризисов и их последствий для различных секторов и всего населения на всех уровнях; (</w:t>
      </w:r>
      <w:r>
        <w:t>ii</w:t>
      </w:r>
      <w:r w:rsidRPr="007A6A0F">
        <w:rPr>
          <w:lang w:val="ru-RU"/>
        </w:rPr>
        <w:t>) содействие работе между секторами путем оказания поддержки в кризисном регулировании ведущим службам без принятия на себя секторальных обязанностей; и (</w:t>
      </w:r>
      <w:r>
        <w:t>iii</w:t>
      </w:r>
      <w:r w:rsidRPr="007A6A0F">
        <w:rPr>
          <w:lang w:val="ru-RU"/>
        </w:rPr>
        <w:t>) мониторинг общего реагирования на кризисы, обеспечивая при этом постоянную обратную связь с Советом, в том числе через МПКР.</w:t>
      </w:r>
    </w:p>
    <w:p w14:paraId="701DB280" w14:textId="77777777" w:rsidR="00DA60C6" w:rsidRPr="007A6A0F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  <w:rPr>
          <w:lang w:val="ru-RU"/>
        </w:rPr>
      </w:pPr>
      <w:r>
        <w:t>Boost</w:t>
      </w:r>
      <w:r w:rsidRPr="007A6A0F">
        <w:rPr>
          <w:lang w:val="ru-RU"/>
        </w:rPr>
        <w:t xml:space="preserve"> </w:t>
      </w:r>
      <w:r>
        <w:t>rescEU</w:t>
      </w:r>
      <w:r w:rsidRPr="007A6A0F">
        <w:rPr>
          <w:lang w:val="ru-RU"/>
        </w:rPr>
        <w:t xml:space="preserve"> – резерв возможностей реагирования на уровне ЕС</w:t>
      </w:r>
    </w:p>
    <w:p w14:paraId="3E55BEED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>Опираясь на успехи в развитии воздушного пожаротушения и других возможностей ЕС, Комиссия обеспечит поддержание и возможное расширение своих существующих возможностей (воздушное пожаротушение, медицина, ХБРЯ, убежища, транспорт, энергетика). Он также завершит создание европейского полевого госпиталя. Совместно с государствами-членами Комиссия оценит возможность расширения этих стратегических резервов на другие типы мощностей, в отношении которых выявлены пробелы (например, ремонт критически важной инфраструктуры, телекоммуникации и т.д.).</w:t>
      </w:r>
    </w:p>
    <w:p w14:paraId="7A8A6F9F" w14:textId="77777777" w:rsidR="00DA60C6" w:rsidRPr="007A6A0F" w:rsidRDefault="00DA60C6">
      <w:pPr>
        <w:pStyle w:val="a3"/>
        <w:spacing w:before="240"/>
        <w:ind w:left="0"/>
        <w:jc w:val="left"/>
        <w:rPr>
          <w:lang w:val="ru-RU"/>
        </w:rPr>
      </w:pPr>
    </w:p>
    <w:p w14:paraId="2BE92BB0" w14:textId="77777777" w:rsidR="00DA60C6" w:rsidRDefault="0045219D">
      <w:pPr>
        <w:pStyle w:val="1"/>
        <w:numPr>
          <w:ilvl w:val="0"/>
          <w:numId w:val="2"/>
        </w:numPr>
        <w:tabs>
          <w:tab w:val="left" w:pos="1734"/>
        </w:tabs>
        <w:ind w:left="1734" w:hanging="359"/>
      </w:pPr>
      <w:r>
        <w:t>УСТОЙЧИВОСТЬ БЛАГОДАРЯ ВНЕШНЕМУ ПАРТНЕРСТВУ</w:t>
      </w:r>
    </w:p>
    <w:p w14:paraId="2B3DBB68" w14:textId="77777777" w:rsidR="00DA60C6" w:rsidRPr="007A6A0F" w:rsidRDefault="0045219D">
      <w:pPr>
        <w:pStyle w:val="a3"/>
        <w:spacing w:before="121"/>
        <w:ind w:right="870"/>
        <w:rPr>
          <w:lang w:val="ru-RU"/>
        </w:rPr>
      </w:pPr>
      <w:r w:rsidRPr="007A6A0F">
        <w:rPr>
          <w:lang w:val="ru-RU"/>
        </w:rPr>
        <w:t>Безопасность и устойчивость ЕС и государств-членов все больше переплетаются с безопасностью и устойчивостью наших партнеров, в частности наших партнеров по расширению и соседству, которые сталкиваются с аналогичным спектром глобальных кризисов и вызовов. Они часто становятся мишенью гибридной и другой враждебной деятельности, включая экономическое принуждение со стороны иностранных злоумышленников, стремящихся использовать их уязвимость и зависимость в качестве оружия. Работа с нашими партнерами по прогнозированию, подготовке, предотвращению и реагированию на кризисы является взаимовыгодной, является выражением солидарности ЕС и имеет основополагающее значение для снижения риска каскадных или побочных эффектов для ЕС кризисов, возникающих в других местах.</w:t>
      </w:r>
    </w:p>
    <w:p w14:paraId="7A4B4EA8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 xml:space="preserve">Во все более нестабильной геополитической обстановке и для решения глобальных </w:t>
      </w:r>
      <w:r w:rsidRPr="007A6A0F">
        <w:rPr>
          <w:lang w:val="ru-RU"/>
        </w:rPr>
        <w:lastRenderedPageBreak/>
        <w:t>проблем, таких как изменение климата и глобальное здравоохранение, ЕС и государства-члены должны продолжать развивать и углублять индивидуальные и взаимовыгодные двусторонние и плюрилатеральные партнерства, в частности, путем укрепления сотрудничества и поддержки стран-кандидатов в ЕС и соседних стран. ЕС также должен активизировать усилия по укреплению эффективной многосторонности, в частности в НАТО и Организации Объединенных Наций.</w:t>
      </w:r>
    </w:p>
    <w:p w14:paraId="361586FB" w14:textId="77777777" w:rsidR="00DA60C6" w:rsidRPr="007A6A0F" w:rsidRDefault="0045219D">
      <w:pPr>
        <w:pStyle w:val="3"/>
        <w:rPr>
          <w:lang w:val="ru-RU"/>
        </w:rPr>
      </w:pPr>
      <w:r w:rsidRPr="007A6A0F">
        <w:rPr>
          <w:lang w:val="ru-RU"/>
        </w:rPr>
        <w:t>Внедрение устойчивости и готовности во внешнюю деятельность ЕС</w:t>
      </w:r>
    </w:p>
    <w:p w14:paraId="72E82013" w14:textId="77777777" w:rsidR="00DA60C6" w:rsidRPr="007A6A0F" w:rsidRDefault="00DA60C6">
      <w:pPr>
        <w:pStyle w:val="3"/>
        <w:rPr>
          <w:lang w:val="ru-RU"/>
        </w:rPr>
        <w:sectPr w:rsidR="00DA60C6" w:rsidRPr="007A6A0F">
          <w:pgSz w:w="11910" w:h="16840"/>
          <w:pgMar w:top="1360" w:right="566" w:bottom="920" w:left="425" w:header="0" w:footer="727" w:gutter="0"/>
          <w:cols w:space="720"/>
        </w:sectPr>
      </w:pPr>
    </w:p>
    <w:p w14:paraId="4E237163" w14:textId="77777777" w:rsidR="00DA60C6" w:rsidRPr="007A6A0F" w:rsidRDefault="0045219D">
      <w:pPr>
        <w:pStyle w:val="a3"/>
        <w:spacing w:before="60"/>
        <w:ind w:right="869"/>
        <w:rPr>
          <w:lang w:val="ru-RU"/>
        </w:rPr>
      </w:pPr>
      <w:r w:rsidRPr="007A6A0F">
        <w:rPr>
          <w:lang w:val="ru-RU"/>
        </w:rPr>
        <w:lastRenderedPageBreak/>
        <w:t>ЕС должен наращивать взаимную устойчивость с партнерами, в частности, для противодействия растущему гибридному, иностранному информационному манипулированию и вмешательству, а также киберугрозам в таких областях, как: (</w:t>
      </w:r>
      <w:r>
        <w:t>i</w:t>
      </w:r>
      <w:r w:rsidRPr="007A6A0F">
        <w:rPr>
          <w:lang w:val="ru-RU"/>
        </w:rPr>
        <w:t>) экономическая безопасность, торговля и инвестиции; (</w:t>
      </w:r>
      <w:r>
        <w:t>ii</w:t>
      </w:r>
      <w:r w:rsidRPr="007A6A0F">
        <w:rPr>
          <w:lang w:val="ru-RU"/>
        </w:rPr>
        <w:t>) устойчивость обществ, верховенство права и институтов; (</w:t>
      </w:r>
      <w:r>
        <w:t>iii</w:t>
      </w:r>
      <w:r w:rsidRPr="007A6A0F">
        <w:rPr>
          <w:lang w:val="ru-RU"/>
        </w:rPr>
        <w:t>) культурное наследие; (</w:t>
      </w:r>
      <w:r>
        <w:t>iv</w:t>
      </w:r>
      <w:r w:rsidRPr="007A6A0F">
        <w:rPr>
          <w:lang w:val="ru-RU"/>
        </w:rPr>
        <w:t xml:space="preserve">) безопасность в области здравоохранения и готовность к пандемиям; </w:t>
      </w:r>
      <w:r>
        <w:t>v</w:t>
      </w:r>
      <w:r w:rsidRPr="007A6A0F">
        <w:rPr>
          <w:lang w:val="ru-RU"/>
        </w:rPr>
        <w:t xml:space="preserve">) изменение климата и ухудшение состояния окружающей среды; </w:t>
      </w:r>
      <w:r>
        <w:t>vi</w:t>
      </w:r>
      <w:r w:rsidRPr="007A6A0F">
        <w:rPr>
          <w:lang w:val="ru-RU"/>
        </w:rPr>
        <w:t xml:space="preserve">) энергетика; </w:t>
      </w:r>
      <w:r>
        <w:t>vii</w:t>
      </w:r>
      <w:r w:rsidRPr="007A6A0F">
        <w:rPr>
          <w:lang w:val="ru-RU"/>
        </w:rPr>
        <w:t>) транспортировка и безопасные маршруты снабжения;</w:t>
      </w:r>
    </w:p>
    <w:p w14:paraId="40C1BFCD" w14:textId="77777777" w:rsidR="00DA60C6" w:rsidRPr="007A6A0F" w:rsidRDefault="0045219D">
      <w:pPr>
        <w:pStyle w:val="a3"/>
        <w:spacing w:before="1"/>
        <w:ind w:right="870"/>
        <w:rPr>
          <w:lang w:val="ru-RU"/>
        </w:rPr>
      </w:pPr>
      <w:r w:rsidRPr="007A6A0F">
        <w:rPr>
          <w:lang w:val="ru-RU"/>
        </w:rPr>
        <w:t>(</w:t>
      </w:r>
      <w:r>
        <w:t>viii</w:t>
      </w:r>
      <w:r w:rsidRPr="007A6A0F">
        <w:rPr>
          <w:lang w:val="ru-RU"/>
        </w:rPr>
        <w:t>) помощь в целях развития и гуманитарная</w:t>
      </w:r>
      <w:hyperlink w:anchor="_bookmark13" w:history="1">
        <w:r w:rsidRPr="007A6A0F">
          <w:rPr>
            <w:vertAlign w:val="superscript"/>
            <w:lang w:val="ru-RU"/>
          </w:rPr>
          <w:t>помощь14</w:t>
        </w:r>
      </w:hyperlink>
      <w:r w:rsidRPr="007A6A0F">
        <w:rPr>
          <w:lang w:val="ru-RU"/>
        </w:rPr>
        <w:t>; и (</w:t>
      </w:r>
      <w:r>
        <w:t>ix</w:t>
      </w:r>
      <w:r w:rsidRPr="007A6A0F">
        <w:rPr>
          <w:lang w:val="ru-RU"/>
        </w:rPr>
        <w:t>) снижение риска бедствий, обеспечение готовности к стихийным бедствиям и упреждающие действия. Для повышения устойчивости во всем мире действия ЕС должны быть согласованы с Целями устойчивого развития Организации Объединенных Наций (ЦУР) и поддерживать Сендайскую рамочную программу Организации Объединенных Наций (ООН) по снижению риска бедствий.</w:t>
      </w:r>
    </w:p>
    <w:p w14:paraId="63E7F755" w14:textId="77777777" w:rsidR="00DA60C6" w:rsidRDefault="0045219D">
      <w:pPr>
        <w:pStyle w:val="2"/>
        <w:ind w:left="1015" w:firstLine="0"/>
      </w:pPr>
      <w:r>
        <w:t>Ключевые действия</w:t>
      </w:r>
    </w:p>
    <w:p w14:paraId="55086C3E" w14:textId="77777777" w:rsidR="00DA60C6" w:rsidRPr="007A6A0F" w:rsidRDefault="0045219D">
      <w:pPr>
        <w:pStyle w:val="a5"/>
        <w:numPr>
          <w:ilvl w:val="0"/>
          <w:numId w:val="1"/>
        </w:numPr>
        <w:tabs>
          <w:tab w:val="left" w:pos="1441"/>
        </w:tabs>
        <w:ind w:left="1441" w:hanging="426"/>
        <w:jc w:val="both"/>
        <w:rPr>
          <w:b/>
          <w:sz w:val="24"/>
          <w:lang w:val="ru-RU"/>
        </w:rPr>
      </w:pPr>
      <w:r w:rsidRPr="007A6A0F">
        <w:rPr>
          <w:b/>
          <w:sz w:val="24"/>
          <w:lang w:val="ru-RU"/>
        </w:rPr>
        <w:t>Повышение взаимной устойчивости со странами-кандидатами</w:t>
      </w:r>
    </w:p>
    <w:p w14:paraId="3F2D63BC" w14:textId="77777777" w:rsidR="00DA60C6" w:rsidRPr="007A6A0F" w:rsidRDefault="0045219D">
      <w:pPr>
        <w:pStyle w:val="a3"/>
        <w:spacing w:before="120"/>
        <w:ind w:right="875"/>
        <w:rPr>
          <w:lang w:val="ru-RU"/>
        </w:rPr>
      </w:pPr>
      <w:r w:rsidRPr="007A6A0F">
        <w:rPr>
          <w:lang w:val="ru-RU"/>
        </w:rPr>
        <w:t xml:space="preserve">ЕС будет продвигать взаимную устойчивость со странами-кандидатами, в том числе путем их вовлечения в соответствующие инициативы ЕС по обеспечению готовности и систему управления кризисами, посредством политики расширения и в соответствии с процессом их постепенной интеграции. ЕС усилит работу с этими странами в области готовности, устойчивости и кризисного регулирования, безопасности и обороны, в частности, для противодействия гибридным угрозам, угрозам </w:t>
      </w:r>
      <w:r>
        <w:t>FIMI</w:t>
      </w:r>
      <w:r w:rsidRPr="007A6A0F">
        <w:rPr>
          <w:lang w:val="ru-RU"/>
        </w:rPr>
        <w:t xml:space="preserve"> и киберугрозам</w:t>
      </w:r>
    </w:p>
    <w:p w14:paraId="4B57FBA3" w14:textId="77777777" w:rsidR="00DA60C6" w:rsidRPr="007A6A0F" w:rsidRDefault="0045219D">
      <w:pPr>
        <w:pStyle w:val="2"/>
        <w:numPr>
          <w:ilvl w:val="0"/>
          <w:numId w:val="1"/>
        </w:numPr>
        <w:tabs>
          <w:tab w:val="left" w:pos="1440"/>
          <w:tab w:val="left" w:pos="1442"/>
        </w:tabs>
        <w:spacing w:before="121"/>
        <w:ind w:right="877"/>
        <w:jc w:val="both"/>
        <w:rPr>
          <w:lang w:val="ru-RU"/>
        </w:rPr>
      </w:pPr>
      <w:r w:rsidRPr="007A6A0F">
        <w:rPr>
          <w:lang w:val="ru-RU"/>
        </w:rPr>
        <w:t>Интеграция вопросов готовности и устойчивости в двусторонние партнерства и многосторонние учреждения</w:t>
      </w:r>
    </w:p>
    <w:p w14:paraId="095D7BFA" w14:textId="77777777" w:rsidR="00DA60C6" w:rsidRPr="007A6A0F" w:rsidRDefault="0045219D">
      <w:pPr>
        <w:pStyle w:val="a3"/>
        <w:spacing w:before="120"/>
        <w:ind w:right="866"/>
        <w:rPr>
          <w:lang w:val="ru-RU"/>
        </w:rPr>
      </w:pPr>
      <w:r w:rsidRPr="007A6A0F">
        <w:rPr>
          <w:lang w:val="ru-RU"/>
        </w:rPr>
        <w:t>ЕС будет использовать такие инструменты, как партнерства в области безопасности и обороны, а также миссии и операции в рамках общей политики безопасности и обороны, а также укреплять сотрудничество в области готовности и устойчивости с ключевыми странами-партнерами и обществами. ЕС необходимо пересмотреть и укрепить свои сети кризисной коммуникации с этими партнерами по всему миру, чтобы поддержать их в реагировании на сложные кризисы и чрезвычайные ситуации.</w:t>
      </w:r>
    </w:p>
    <w:p w14:paraId="6269DE8A" w14:textId="77777777" w:rsidR="00DA60C6" w:rsidRPr="007A6A0F" w:rsidRDefault="0045219D">
      <w:pPr>
        <w:pStyle w:val="a3"/>
        <w:spacing w:before="120"/>
        <w:ind w:right="869"/>
        <w:rPr>
          <w:lang w:val="ru-RU"/>
        </w:rPr>
      </w:pPr>
      <w:r w:rsidRPr="007A6A0F">
        <w:rPr>
          <w:lang w:val="ru-RU"/>
        </w:rPr>
        <w:t>Будет активизировано многостороннее взаимодействие с международными организациями и региональными партнерами, в частности с ООН и ее учреждениями. Сотрудничество с ООН будет включать поддержку миротворчества, миростроительства, предотвращения конфликтов, стабилизации и постконфликтного восстановления в качестве средства повышения устойчивости в соответствии с Совместными приоритетами ЕС-ООН на 2025-2027 годы. Кроме того, ЕС продолжит укреплять готовность посредством помощи в целях развития и гуманитарной помощи в качестве ключевого элемента повышения устойчивости наиболее уязвимых слоев населения и устранения коренных причин нестабильности.</w:t>
      </w:r>
    </w:p>
    <w:p w14:paraId="128B413B" w14:textId="77777777" w:rsidR="00DA60C6" w:rsidRPr="007A6A0F" w:rsidRDefault="0045219D">
      <w:pPr>
        <w:pStyle w:val="2"/>
        <w:numPr>
          <w:ilvl w:val="0"/>
          <w:numId w:val="1"/>
        </w:numPr>
        <w:tabs>
          <w:tab w:val="left" w:pos="1441"/>
        </w:tabs>
        <w:spacing w:before="121"/>
        <w:ind w:left="1441" w:hanging="426"/>
        <w:jc w:val="both"/>
        <w:rPr>
          <w:lang w:val="ru-RU"/>
        </w:rPr>
      </w:pPr>
      <w:r w:rsidRPr="007A6A0F">
        <w:rPr>
          <w:lang w:val="ru-RU"/>
        </w:rPr>
        <w:t>Интегрировать вопросы готовности и устойчивости в сотрудничество с НАТО</w:t>
      </w:r>
    </w:p>
    <w:p w14:paraId="035239E5" w14:textId="77777777" w:rsidR="00DA60C6" w:rsidRPr="007A6A0F" w:rsidRDefault="0045219D">
      <w:pPr>
        <w:pStyle w:val="a3"/>
        <w:spacing w:before="120"/>
        <w:ind w:right="869"/>
        <w:rPr>
          <w:lang w:val="ru-RU"/>
        </w:rPr>
      </w:pPr>
      <w:r w:rsidRPr="007A6A0F">
        <w:rPr>
          <w:lang w:val="ru-RU"/>
        </w:rPr>
        <w:t>Готовность и устойчивость будут интегрированы в структурированные диалоги ЕС-НАТО, взаимные перекрестные брифинги и учебную подготовку. Особое внимание будет уделено военной мобильности, климату и безопасности, новым прорывным технологиям, кибернетике, космосу и оборонной промышленности. Для решения вопросов готовности и устойчивости будут использоваться обмены персоналом по вопросам манипулирования и вмешательства в гибридную и иностранную информацию, безопасности на море, оперативного сотрудничества и наращивания потенциала партнеров.</w:t>
      </w:r>
    </w:p>
    <w:p w14:paraId="0483C848" w14:textId="77777777" w:rsidR="00DA60C6" w:rsidRPr="007A6A0F" w:rsidRDefault="0045219D">
      <w:pPr>
        <w:pStyle w:val="2"/>
        <w:numPr>
          <w:ilvl w:val="0"/>
          <w:numId w:val="1"/>
        </w:numPr>
        <w:tabs>
          <w:tab w:val="left" w:pos="1441"/>
        </w:tabs>
        <w:ind w:left="1441" w:hanging="426"/>
        <w:jc w:val="both"/>
        <w:rPr>
          <w:lang w:val="ru-RU"/>
        </w:rPr>
      </w:pPr>
      <w:r w:rsidRPr="007A6A0F">
        <w:rPr>
          <w:lang w:val="ru-RU"/>
        </w:rPr>
        <w:lastRenderedPageBreak/>
        <w:t>Развитие взаимной устойчивости с помощью внешней экономической политики и политики в области развития</w:t>
      </w:r>
    </w:p>
    <w:p w14:paraId="4EA72D93" w14:textId="77777777" w:rsidR="00DA60C6" w:rsidRPr="007A6A0F" w:rsidRDefault="0045219D">
      <w:pPr>
        <w:pStyle w:val="a3"/>
        <w:spacing w:before="120"/>
        <w:ind w:right="870"/>
        <w:rPr>
          <w:lang w:val="ru-RU"/>
        </w:rPr>
      </w:pPr>
      <w:r w:rsidRPr="007A6A0F">
        <w:rPr>
          <w:lang w:val="ru-RU"/>
        </w:rPr>
        <w:t>ЕС будет развивать взаимную устойчивость с партнерами и снижать чрезмерную зависимость с помощью своей внешней экономической политики и политики в области развития. Этому будут способствовать такие ключевые инициативы, как Глобальный портал, Инструмент добрососедства, развития и международного сотрудничества (</w:t>
      </w:r>
      <w:r>
        <w:t>NDICI</w:t>
      </w:r>
      <w:r w:rsidRPr="007A6A0F">
        <w:rPr>
          <w:lang w:val="ru-RU"/>
        </w:rPr>
        <w:t xml:space="preserve"> - Глобальная Европа), Инструмент подготовки к вступлению </w:t>
      </w:r>
      <w:r>
        <w:t>III</w:t>
      </w:r>
      <w:r w:rsidRPr="007A6A0F">
        <w:rPr>
          <w:lang w:val="ru-RU"/>
        </w:rPr>
        <w:t xml:space="preserve"> и готовящийся к выпуску Новый пакт для Средиземноморья. Диверсификация и укрепление интеграции поставок и</w:t>
      </w:r>
    </w:p>
    <w:p w14:paraId="7E8C52CE" w14:textId="77777777" w:rsidR="00DA60C6" w:rsidRPr="007A6A0F" w:rsidRDefault="0045219D">
      <w:pPr>
        <w:pStyle w:val="a3"/>
        <w:spacing w:before="11"/>
        <w:ind w:left="0"/>
        <w:jc w:val="left"/>
        <w:rPr>
          <w:sz w:val="14"/>
          <w:lang w:val="ru-RU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D92C43" wp14:editId="5283BE03">
                <wp:simplePos x="0" y="0"/>
                <wp:positionH relativeFrom="page">
                  <wp:posOffset>914704</wp:posOffset>
                </wp:positionH>
                <wp:positionV relativeFrom="paragraph">
                  <wp:posOffset>124465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C4D06" id="Graphic 16" o:spid="_x0000_s1026" style="position:absolute;margin-left:1in;margin-top:9.8pt;width:144.05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JdmQN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51A7C3" w14:textId="77777777" w:rsidR="00DA60C6" w:rsidRPr="007A6A0F" w:rsidRDefault="0045219D">
      <w:pPr>
        <w:spacing w:before="223"/>
        <w:ind w:left="1015"/>
        <w:rPr>
          <w:sz w:val="20"/>
          <w:lang w:val="ru-RU"/>
        </w:rPr>
      </w:pPr>
      <w:bookmarkStart w:id="13" w:name="_bookmark13"/>
      <w:bookmarkEnd w:id="13"/>
      <w:r w:rsidRPr="007A6A0F">
        <w:rPr>
          <w:sz w:val="20"/>
          <w:vertAlign w:val="superscript"/>
          <w:lang w:val="ru-RU"/>
        </w:rPr>
        <w:t xml:space="preserve">14 </w:t>
      </w:r>
      <w:r w:rsidRPr="007A6A0F">
        <w:rPr>
          <w:sz w:val="20"/>
          <w:lang w:val="ru-RU"/>
        </w:rPr>
        <w:t>В полном соответствии со своим конкретным мандатом, в частности международными гуманитарными принципами и международным гуманитарным правом.</w:t>
      </w:r>
    </w:p>
    <w:p w14:paraId="1F9DD8A8" w14:textId="77777777" w:rsidR="00DA60C6" w:rsidRPr="007A6A0F" w:rsidRDefault="00DA60C6">
      <w:pPr>
        <w:rPr>
          <w:sz w:val="20"/>
          <w:lang w:val="ru-RU"/>
        </w:rPr>
        <w:sectPr w:rsidR="00DA60C6" w:rsidRPr="007A6A0F">
          <w:pgSz w:w="11910" w:h="16840"/>
          <w:pgMar w:top="1360" w:right="566" w:bottom="920" w:left="425" w:header="0" w:footer="727" w:gutter="0"/>
          <w:cols w:space="720"/>
        </w:sectPr>
      </w:pPr>
    </w:p>
    <w:p w14:paraId="058D5F54" w14:textId="77777777" w:rsidR="00DA60C6" w:rsidRPr="007A6A0F" w:rsidRDefault="0045219D">
      <w:pPr>
        <w:pStyle w:val="a3"/>
        <w:spacing w:before="60"/>
        <w:ind w:right="872"/>
        <w:rPr>
          <w:lang w:val="ru-RU"/>
        </w:rPr>
      </w:pPr>
      <w:r w:rsidRPr="007A6A0F">
        <w:rPr>
          <w:lang w:val="ru-RU"/>
        </w:rPr>
        <w:lastRenderedPageBreak/>
        <w:t>Производственно-сбытовые цепочки в странах-партнерах в рамках соглашений о свободной торговле, партнерств в области чистой торговли и инвестиций, стратегических партнерств в области сырья и цифровых партнерств также внесут свой вклад в эти усилия.</w:t>
      </w:r>
    </w:p>
    <w:p w14:paraId="1B8ED922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522CA8FE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165C0898" w14:textId="77777777" w:rsidR="00DA60C6" w:rsidRPr="007A6A0F" w:rsidRDefault="00DA60C6">
      <w:pPr>
        <w:pStyle w:val="a3"/>
        <w:ind w:left="0"/>
        <w:jc w:val="left"/>
        <w:rPr>
          <w:lang w:val="ru-RU"/>
        </w:rPr>
      </w:pPr>
    </w:p>
    <w:p w14:paraId="63C26D68" w14:textId="77777777" w:rsidR="00DA60C6" w:rsidRPr="007A6A0F" w:rsidRDefault="00DA60C6">
      <w:pPr>
        <w:pStyle w:val="a3"/>
        <w:spacing w:before="205"/>
        <w:ind w:left="0"/>
        <w:jc w:val="left"/>
        <w:rPr>
          <w:lang w:val="ru-RU"/>
        </w:rPr>
      </w:pPr>
    </w:p>
    <w:p w14:paraId="34EC25D8" w14:textId="77777777" w:rsidR="00DA60C6" w:rsidRPr="007A6A0F" w:rsidRDefault="0045219D">
      <w:pPr>
        <w:pStyle w:val="1"/>
        <w:ind w:left="1375" w:firstLine="0"/>
        <w:rPr>
          <w:lang w:val="ru-RU"/>
        </w:rPr>
      </w:pPr>
      <w:r w:rsidRPr="007A6A0F">
        <w:rPr>
          <w:lang w:val="ru-RU"/>
        </w:rPr>
        <w:t>ЗАКЛЮЧЕНИЕ И ДАЛЬНЕЙШИЕ ДЕЙСТВИЯ</w:t>
      </w:r>
    </w:p>
    <w:p w14:paraId="62749AFF" w14:textId="77777777" w:rsidR="00DA60C6" w:rsidRPr="007A6A0F" w:rsidRDefault="0045219D">
      <w:pPr>
        <w:pStyle w:val="a3"/>
        <w:spacing w:before="120"/>
        <w:ind w:right="867"/>
        <w:rPr>
          <w:lang w:val="ru-RU"/>
        </w:rPr>
      </w:pPr>
      <w:r w:rsidRPr="007A6A0F">
        <w:rPr>
          <w:lang w:val="ru-RU"/>
        </w:rPr>
        <w:t>В контексте растущих антропогенных и природных рисков и ухудшения перспектив безопасности в Европе ЕС и его государствам-членам необходимо в срочном порядке усилить готовность. В то время как государства-члены остаются основными субъектами в области гражданской защиты, готовности и реагирования на кризисы, в Стратегии изложено видение Союза готовности, где поддержка ЕС будет дополнять национальные усилия. Совместными усилиями мы станем более эффективными, более гибкими, с четкими обязанностями, более сильными в прогнозировании и реагировании во всех соответствующих секторах. Гибкие инструменты помогут государствам-членам реагировать на неожиданные чрезвычайные ситуации. Работа над созданием Союза готовности также будет способствовать тому, чтобы сделать ЕС более инклюзивным, конкурентоспособным и процветающим. Таким образом, Европа могла бы воспользоваться всеми преимуществами масштаба и эффективности, полученными от совместных действий на уровне Союза.</w:t>
      </w:r>
    </w:p>
    <w:p w14:paraId="2E6B0613" w14:textId="77777777" w:rsidR="00DA60C6" w:rsidRPr="007A6A0F" w:rsidRDefault="0045219D">
      <w:pPr>
        <w:pStyle w:val="a3"/>
        <w:spacing w:before="121"/>
        <w:ind w:right="869"/>
        <w:rPr>
          <w:lang w:val="ru-RU"/>
        </w:rPr>
      </w:pPr>
      <w:r w:rsidRPr="007A6A0F">
        <w:rPr>
          <w:lang w:val="ru-RU"/>
        </w:rPr>
        <w:t>Реализация Стратегии будет регулярно контролироваться. Обновленная информация будет регулярно доводиться до сведения Совета и Европейского парламента для отслеживания прогресса в реализации рекомендаций.</w:t>
      </w:r>
    </w:p>
    <w:p w14:paraId="5AD4CDC8" w14:textId="77777777" w:rsidR="00DA60C6" w:rsidRPr="007A6A0F" w:rsidRDefault="0045219D">
      <w:pPr>
        <w:pStyle w:val="a3"/>
        <w:spacing w:before="120"/>
        <w:ind w:right="869"/>
        <w:rPr>
          <w:lang w:val="ru-RU"/>
        </w:rPr>
      </w:pPr>
      <w:r w:rsidRPr="007A6A0F">
        <w:rPr>
          <w:lang w:val="ru-RU"/>
        </w:rPr>
        <w:t>В то же время Комиссия предлагает Совету и Европейскому парламенту работать вместе с Комиссией и Верховным представителем над Стратегией и действиями, изложенными в Плане действий, и работать вместе над их реализацией.</w:t>
      </w:r>
    </w:p>
    <w:p w14:paraId="30E76B6A" w14:textId="02D96A09" w:rsidR="00DA60C6" w:rsidRDefault="0045219D">
      <w:pPr>
        <w:pStyle w:val="a3"/>
        <w:spacing w:before="120"/>
      </w:pPr>
      <w:r w:rsidRPr="007A6A0F">
        <w:rPr>
          <w:lang w:val="ru-RU"/>
        </w:rPr>
        <w:t xml:space="preserve">Вместе мы сможем построить более безопасную, устойчивую и защищенную </w:t>
      </w:r>
      <w:r>
        <w:t>Европу.</w:t>
      </w:r>
    </w:p>
    <w:sectPr w:rsidR="00DA60C6">
      <w:pgSz w:w="11910" w:h="16840"/>
      <w:pgMar w:top="1360" w:right="566" w:bottom="920" w:left="425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B5BC" w14:textId="77777777" w:rsidR="00C70645" w:rsidRDefault="00C70645">
      <w:r>
        <w:separator/>
      </w:r>
    </w:p>
  </w:endnote>
  <w:endnote w:type="continuationSeparator" w:id="0">
    <w:p w14:paraId="2188B0A9" w14:textId="77777777" w:rsidR="00C70645" w:rsidRDefault="00C7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5CE8" w14:textId="77777777" w:rsidR="00DA60C6" w:rsidRDefault="0045219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70C66126" wp14:editId="0589E2DF">
              <wp:simplePos x="0" y="0"/>
              <wp:positionH relativeFrom="page">
                <wp:posOffset>3704971</wp:posOffset>
              </wp:positionH>
              <wp:positionV relativeFrom="page">
                <wp:posOffset>10091172</wp:posOffset>
              </wp:positionV>
              <wp:extent cx="153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1466D" w14:textId="77777777" w:rsidR="00DA60C6" w:rsidRDefault="0045219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61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75pt;margin-top:794.6pt;width:12.1pt;height:13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" filled="f" stroked="f">
              <v:textbox inset="0,0,0,0">
                <w:txbxContent>
                  <w:p w14:paraId="15D1466D" w14:textId="77777777" w:rsidR="00DA60C6" w:rsidRDefault="0045219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84E0" w14:textId="77777777" w:rsidR="00C70645" w:rsidRDefault="00C70645">
      <w:r>
        <w:separator/>
      </w:r>
    </w:p>
  </w:footnote>
  <w:footnote w:type="continuationSeparator" w:id="0">
    <w:p w14:paraId="518DB8FD" w14:textId="77777777" w:rsidR="00C70645" w:rsidRDefault="00C7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9F2"/>
    <w:multiLevelType w:val="hybridMultilevel"/>
    <w:tmpl w:val="50288B94"/>
    <w:lvl w:ilvl="0" w:tplc="25605504">
      <w:start w:val="1"/>
      <w:numFmt w:val="russianUpper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ECFE0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2" w:tplc="4740B33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3364E04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B35A188C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F3000490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6" w:tplc="67940110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7" w:tplc="2FB6E1B0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8" w:tplc="C638F874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7F23B0"/>
    <w:multiLevelType w:val="hybridMultilevel"/>
    <w:tmpl w:val="8D72BB3C"/>
    <w:lvl w:ilvl="0" w:tplc="7CF09694">
      <w:start w:val="1"/>
      <w:numFmt w:val="russianUpper"/>
      <w:lvlText w:val="%1)"/>
      <w:lvlJc w:val="left"/>
      <w:pPr>
        <w:ind w:left="144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4018F2">
      <w:numFmt w:val="bullet"/>
      <w:lvlText w:val="•"/>
      <w:lvlJc w:val="left"/>
      <w:pPr>
        <w:ind w:left="2387" w:hanging="428"/>
      </w:pPr>
      <w:rPr>
        <w:rFonts w:hint="default"/>
        <w:lang w:val="en-US" w:eastAsia="en-US" w:bidi="ar-SA"/>
      </w:rPr>
    </w:lvl>
    <w:lvl w:ilvl="2" w:tplc="6012E962">
      <w:numFmt w:val="bullet"/>
      <w:lvlText w:val="•"/>
      <w:lvlJc w:val="left"/>
      <w:pPr>
        <w:ind w:left="3335" w:hanging="428"/>
      </w:pPr>
      <w:rPr>
        <w:rFonts w:hint="default"/>
        <w:lang w:val="en-US" w:eastAsia="en-US" w:bidi="ar-SA"/>
      </w:rPr>
    </w:lvl>
    <w:lvl w:ilvl="3" w:tplc="11A2DE34">
      <w:numFmt w:val="bullet"/>
      <w:lvlText w:val="•"/>
      <w:lvlJc w:val="left"/>
      <w:pPr>
        <w:ind w:left="4282" w:hanging="428"/>
      </w:pPr>
      <w:rPr>
        <w:rFonts w:hint="default"/>
        <w:lang w:val="en-US" w:eastAsia="en-US" w:bidi="ar-SA"/>
      </w:rPr>
    </w:lvl>
    <w:lvl w:ilvl="4" w:tplc="FF0059B4">
      <w:numFmt w:val="bullet"/>
      <w:lvlText w:val="•"/>
      <w:lvlJc w:val="left"/>
      <w:pPr>
        <w:ind w:left="5230" w:hanging="428"/>
      </w:pPr>
      <w:rPr>
        <w:rFonts w:hint="default"/>
        <w:lang w:val="en-US" w:eastAsia="en-US" w:bidi="ar-SA"/>
      </w:rPr>
    </w:lvl>
    <w:lvl w:ilvl="5" w:tplc="AB7AF3E4">
      <w:numFmt w:val="bullet"/>
      <w:lvlText w:val="•"/>
      <w:lvlJc w:val="left"/>
      <w:pPr>
        <w:ind w:left="6177" w:hanging="428"/>
      </w:pPr>
      <w:rPr>
        <w:rFonts w:hint="default"/>
        <w:lang w:val="en-US" w:eastAsia="en-US" w:bidi="ar-SA"/>
      </w:rPr>
    </w:lvl>
    <w:lvl w:ilvl="6" w:tplc="173E2206">
      <w:numFmt w:val="bullet"/>
      <w:lvlText w:val="•"/>
      <w:lvlJc w:val="left"/>
      <w:pPr>
        <w:ind w:left="7125" w:hanging="428"/>
      </w:pPr>
      <w:rPr>
        <w:rFonts w:hint="default"/>
        <w:lang w:val="en-US" w:eastAsia="en-US" w:bidi="ar-SA"/>
      </w:rPr>
    </w:lvl>
    <w:lvl w:ilvl="7" w:tplc="8D28B304">
      <w:numFmt w:val="bullet"/>
      <w:lvlText w:val="•"/>
      <w:lvlJc w:val="left"/>
      <w:pPr>
        <w:ind w:left="8072" w:hanging="428"/>
      </w:pPr>
      <w:rPr>
        <w:rFonts w:hint="default"/>
        <w:lang w:val="en-US" w:eastAsia="en-US" w:bidi="ar-SA"/>
      </w:rPr>
    </w:lvl>
    <w:lvl w:ilvl="8" w:tplc="0D3C0552">
      <w:numFmt w:val="bullet"/>
      <w:lvlText w:val="•"/>
      <w:lvlJc w:val="left"/>
      <w:pPr>
        <w:ind w:left="9020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4BD8670F"/>
    <w:multiLevelType w:val="hybridMultilevel"/>
    <w:tmpl w:val="DC786C18"/>
    <w:lvl w:ilvl="0" w:tplc="34A29F0E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088956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2" w:tplc="1C900AE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751C158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EE2EFBE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7506DD4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6" w:tplc="5678B97E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7" w:tplc="9378D3FE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8" w:tplc="51E2E4B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1281255383">
    <w:abstractNumId w:val="1"/>
  </w:num>
  <w:num w:numId="2" w16cid:durableId="944657281">
    <w:abstractNumId w:val="0"/>
  </w:num>
  <w:num w:numId="3" w16cid:durableId="27691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C6"/>
    <w:rsid w:val="004336B5"/>
    <w:rsid w:val="0045219D"/>
    <w:rsid w:val="007A6A0F"/>
    <w:rsid w:val="00C70645"/>
    <w:rsid w:val="00D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3261"/>
  <w15:docId w15:val="{D1CB724B-8410-4E54-B480-7ED76C7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34" w:hanging="3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20"/>
      <w:ind w:left="1441" w:hanging="426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20"/>
      <w:ind w:left="101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5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1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20"/>
      <w:ind w:left="1441" w:hanging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7A6A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topics/defence/safer-together-path-towards-fully-prepared-union_en" TargetMode="External"/><Relationship Id="rId13" Type="http://schemas.openxmlformats.org/officeDocument/2006/relationships/hyperlink" Target="https://civil-protection-humanitarian-aid.ec.europa.eu/what/civil-protection/european-disaster-risk-management/european-disaster-resilience-goals_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ivil-protection-humanitarian-aid.ec.europa.eu/what/civil-protection/european-disaster-risk-management/european-disaster-resilience-goals_en" TargetMode="External"/><Relationship Id="rId17" Type="http://schemas.openxmlformats.org/officeDocument/2006/relationships/hyperlink" Target="https://eur-lex.europa.eu/legal-content/EN/TXT/?uri=OJ%3AC_2024035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OJ%3AC_2024035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vil-protection-humanitarian-aid.ec.europa.eu/what/civil-protection/european-disaster-risk-management/european-disaster-resilience-goals_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to.int/cps/bu/natohq/topics_132722.ht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9227</Words>
  <Characters>52595</Characters>
  <Application>Microsoft Office Word</Application>
  <DocSecurity>0</DocSecurity>
  <Lines>438</Lines>
  <Paragraphs>123</Paragraphs>
  <ScaleCrop>false</ScaleCrop>
  <Company/>
  <LinksUpToDate>false</LinksUpToDate>
  <CharactersWithSpaces>61699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Шенбергер</dc:creator>
  <cp:lastModifiedBy>Igor Shenberger</cp:lastModifiedBy>
  <cp:revision>1</cp:revision>
  <dcterms:created xsi:type="dcterms:W3CDTF">2025-03-27T04:31:00Z</dcterms:created>
  <dcterms:modified xsi:type="dcterms:W3CDTF">2025-03-27T04:32:00Z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2025-03-27T00:00:00Z</vt:filetime>
  </property>
  <property fmtid="{D5CDD505-2E9C-101B-9397-08002B2CF9AE}" pid="4" name="MSIP_Label_6bd9ddd1-4d20-43f6-abfa-fc3c07406f94_ActionId">
    <vt:lpwstr>f22446ac-42b2-400a-a972-58141ff96924</vt:lpwstr>
  </property>
  <property fmtid="{D5CDD505-2E9C-101B-9397-08002B2CF9AE}" pid="5" name="MSIP_Label_6bd9ddd1-4d20-43f6-abfa-fc3c07406f94_ContentBits">
    <vt:lpwstr>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Method">
    <vt:lpwstr>Privileged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etDate">
    <vt:lpwstr>2025-03-25T08:37:22Z</vt:lpwstr>
  </property>
  <property fmtid="{D5CDD505-2E9C-101B-9397-08002B2CF9AE}" pid="10" name="MSIP_Label_6bd9ddd1-4d20-43f6-abfa-fc3c07406f94_SiteId">
    <vt:lpwstr>b24c8b06-522c-46fe-9080-70926f8dddb1</vt:lpwstr>
  </property>
</Properties>
</file>