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2A3" w14:textId="753B2335" w:rsidR="000C367D" w:rsidRDefault="000C367D">
      <w:pPr>
        <w:pStyle w:val="a3"/>
        <w:spacing w:before="5"/>
        <w:rPr>
          <w:sz w:val="10"/>
        </w:rPr>
      </w:pPr>
    </w:p>
    <w:p w14:paraId="0AEC679E" w14:textId="77777777" w:rsidR="000C367D" w:rsidRDefault="000C367D">
      <w:pPr>
        <w:pStyle w:val="a3"/>
        <w:rPr>
          <w:sz w:val="10"/>
        </w:rPr>
        <w:sectPr w:rsidR="000C367D">
          <w:type w:val="continuous"/>
          <w:pgSz w:w="11910" w:h="16840"/>
          <w:pgMar w:top="1460" w:right="566" w:bottom="280" w:left="425" w:header="720" w:footer="720" w:gutter="0"/>
          <w:cols w:space="720"/>
        </w:sectPr>
      </w:pPr>
    </w:p>
    <w:p w14:paraId="2A4FC80E" w14:textId="77777777" w:rsidR="000C367D" w:rsidRDefault="000C367D">
      <w:pPr>
        <w:pStyle w:val="a3"/>
        <w:rPr>
          <w:sz w:val="23"/>
        </w:rPr>
      </w:pPr>
    </w:p>
    <w:p w14:paraId="51BA88A4" w14:textId="77777777" w:rsidR="000C367D" w:rsidRDefault="000C367D">
      <w:pPr>
        <w:pStyle w:val="a3"/>
        <w:spacing w:before="92"/>
        <w:rPr>
          <w:sz w:val="23"/>
        </w:rPr>
      </w:pPr>
    </w:p>
    <w:p w14:paraId="7C18E752" w14:textId="77777777" w:rsidR="000C367D" w:rsidRPr="00F90960" w:rsidRDefault="009D5104">
      <w:pPr>
        <w:ind w:left="3666"/>
        <w:rPr>
          <w:rFonts w:ascii="Arial MT"/>
          <w:sz w:val="23"/>
          <w:lang w:val="ru-RU"/>
        </w:rPr>
      </w:pPr>
      <w:r>
        <w:rPr>
          <w:rFonts w:ascii="Arial MT"/>
          <w:noProof/>
          <w:sz w:val="23"/>
        </w:rPr>
        <w:drawing>
          <wp:anchor distT="0" distB="0" distL="0" distR="0" simplePos="0" relativeHeight="15728640" behindDoc="0" locked="0" layoutInCell="1" allowOverlap="1" wp14:anchorId="481E5B2B" wp14:editId="4F9C5C68">
            <wp:simplePos x="0" y="0"/>
            <wp:positionH relativeFrom="page">
              <wp:posOffset>909065</wp:posOffset>
            </wp:positionH>
            <wp:positionV relativeFrom="paragraph">
              <wp:posOffset>-465727</wp:posOffset>
            </wp:positionV>
            <wp:extent cx="1587015" cy="774700"/>
            <wp:effectExtent l="0" t="0" r="0" b="0"/>
            <wp:wrapNone/>
            <wp:docPr id="1" name="Image 1" descr="40013F5E-2873-4F05-9111-DCDFABDAA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40013F5E-2873-4F05-9111-DCDFABDAA70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01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0960">
        <w:rPr>
          <w:rFonts w:ascii="Arial MT"/>
          <w:spacing w:val="-2"/>
          <w:sz w:val="23"/>
          <w:lang w:val="ru-RU"/>
        </w:rPr>
        <w:t>ЕВРОПЕЙСКАЯ</w:t>
      </w:r>
      <w:r w:rsidRPr="00F90960">
        <w:rPr>
          <w:rFonts w:ascii="Arial MT"/>
          <w:spacing w:val="-2"/>
          <w:sz w:val="23"/>
          <w:lang w:val="ru-RU"/>
        </w:rPr>
        <w:t xml:space="preserve"> </w:t>
      </w:r>
      <w:r w:rsidRPr="00F90960">
        <w:rPr>
          <w:rFonts w:ascii="Arial MT"/>
          <w:spacing w:val="-2"/>
          <w:sz w:val="23"/>
          <w:lang w:val="ru-RU"/>
        </w:rPr>
        <w:t>КОМИССИЯ</w:t>
      </w:r>
    </w:p>
    <w:p w14:paraId="626F3CA2" w14:textId="77777777" w:rsidR="000C367D" w:rsidRPr="00F90960" w:rsidRDefault="009D5104">
      <w:pPr>
        <w:spacing w:before="92"/>
        <w:ind w:left="2130" w:right="932" w:hanging="77"/>
        <w:jc w:val="right"/>
        <w:rPr>
          <w:rFonts w:ascii="Arial MT"/>
          <w:sz w:val="23"/>
          <w:lang w:val="ru-RU"/>
        </w:rPr>
      </w:pPr>
      <w:r w:rsidRPr="00F90960">
        <w:rPr>
          <w:lang w:val="ru-RU"/>
        </w:rPr>
        <w:br w:type="column"/>
      </w:r>
      <w:r w:rsidRPr="00F90960">
        <w:rPr>
          <w:rFonts w:ascii="Arial MT"/>
          <w:sz w:val="23"/>
          <w:lang w:val="ru-RU"/>
        </w:rPr>
        <w:t>ВЕРХОВНЫЙ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ПРЕДСТАВИТЕЛЬ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ЕС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ПО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ИНОСТРАННЫМ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ДЕЛАМ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И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ПОЛИТИКЕ</w:t>
      </w:r>
      <w:r w:rsidRPr="00F90960">
        <w:rPr>
          <w:rFonts w:ascii="Arial MT"/>
          <w:sz w:val="23"/>
          <w:lang w:val="ru-RU"/>
        </w:rPr>
        <w:t xml:space="preserve"> </w:t>
      </w:r>
      <w:r w:rsidRPr="00F90960">
        <w:rPr>
          <w:rFonts w:ascii="Arial MT"/>
          <w:sz w:val="23"/>
          <w:lang w:val="ru-RU"/>
        </w:rPr>
        <w:t>БЕЗОПАСНОСТИ</w:t>
      </w:r>
    </w:p>
    <w:p w14:paraId="6075F8D4" w14:textId="77777777" w:rsidR="000C367D" w:rsidRPr="00F90960" w:rsidRDefault="000C367D">
      <w:pPr>
        <w:pStyle w:val="a3"/>
        <w:rPr>
          <w:rFonts w:ascii="Arial MT"/>
          <w:sz w:val="23"/>
          <w:lang w:val="ru-RU"/>
        </w:rPr>
      </w:pPr>
    </w:p>
    <w:p w14:paraId="28D7BF06" w14:textId="77777777" w:rsidR="000C367D" w:rsidRPr="00F90960" w:rsidRDefault="000C367D">
      <w:pPr>
        <w:pStyle w:val="a3"/>
        <w:rPr>
          <w:rFonts w:ascii="Arial MT"/>
          <w:sz w:val="23"/>
          <w:lang w:val="ru-RU"/>
        </w:rPr>
      </w:pPr>
    </w:p>
    <w:p w14:paraId="77C81321" w14:textId="77777777" w:rsidR="000C367D" w:rsidRPr="00F90960" w:rsidRDefault="000C367D">
      <w:pPr>
        <w:pStyle w:val="a3"/>
        <w:spacing w:before="237"/>
        <w:rPr>
          <w:rFonts w:ascii="Arial MT"/>
          <w:sz w:val="23"/>
          <w:lang w:val="ru-RU"/>
        </w:rPr>
      </w:pPr>
    </w:p>
    <w:p w14:paraId="5192E3E8" w14:textId="77777777" w:rsidR="000C367D" w:rsidRPr="00F90960" w:rsidRDefault="009D5104">
      <w:pPr>
        <w:pStyle w:val="a3"/>
        <w:spacing w:before="1" w:line="275" w:lineRule="exact"/>
        <w:ind w:left="894"/>
        <w:rPr>
          <w:lang w:val="ru-RU"/>
        </w:rPr>
      </w:pPr>
      <w:r w:rsidRPr="00F90960">
        <w:rPr>
          <w:lang w:val="ru-RU"/>
        </w:rPr>
        <w:t>Брюссель, 26.3.2025</w:t>
      </w:r>
    </w:p>
    <w:p w14:paraId="0B3E0C22" w14:textId="77777777" w:rsidR="000C367D" w:rsidRPr="00F90960" w:rsidRDefault="009D5104">
      <w:pPr>
        <w:pStyle w:val="a3"/>
        <w:spacing w:line="446" w:lineRule="auto"/>
        <w:ind w:left="894" w:right="1949"/>
        <w:rPr>
          <w:lang w:val="ru-RU"/>
        </w:rPr>
      </w:pPr>
      <w:r>
        <w:t>JOIN</w:t>
      </w:r>
      <w:r w:rsidRPr="00F90960">
        <w:rPr>
          <w:lang w:val="ru-RU"/>
        </w:rPr>
        <w:t>(2025) 130 итоговое ПРИЛОЖЕНИЕ</w:t>
      </w:r>
    </w:p>
    <w:p w14:paraId="66642773" w14:textId="77777777" w:rsidR="000C367D" w:rsidRPr="00F90960" w:rsidRDefault="000C367D">
      <w:pPr>
        <w:pStyle w:val="a3"/>
        <w:spacing w:line="446" w:lineRule="auto"/>
        <w:rPr>
          <w:lang w:val="ru-RU"/>
        </w:rPr>
        <w:sectPr w:rsidR="000C367D" w:rsidRPr="00F90960">
          <w:type w:val="continuous"/>
          <w:pgSz w:w="11910" w:h="16840"/>
          <w:pgMar w:top="1460" w:right="566" w:bottom="280" w:left="425" w:header="720" w:footer="720" w:gutter="0"/>
          <w:cols w:num="2" w:space="720" w:equalWidth="0">
            <w:col w:w="5176" w:space="40"/>
            <w:col w:w="5703"/>
          </w:cols>
        </w:sectPr>
      </w:pPr>
    </w:p>
    <w:p w14:paraId="2B4A6256" w14:textId="77777777" w:rsidR="000C367D" w:rsidRPr="00F90960" w:rsidRDefault="000C367D">
      <w:pPr>
        <w:pStyle w:val="a3"/>
        <w:rPr>
          <w:lang w:val="ru-RU"/>
        </w:rPr>
      </w:pPr>
    </w:p>
    <w:p w14:paraId="5FAB44DF" w14:textId="77777777" w:rsidR="000C367D" w:rsidRPr="00F90960" w:rsidRDefault="000C367D">
      <w:pPr>
        <w:pStyle w:val="a3"/>
        <w:rPr>
          <w:lang w:val="ru-RU"/>
        </w:rPr>
      </w:pPr>
    </w:p>
    <w:p w14:paraId="487E11BA" w14:textId="77777777" w:rsidR="000C367D" w:rsidRPr="00F90960" w:rsidRDefault="000C367D">
      <w:pPr>
        <w:pStyle w:val="a3"/>
        <w:rPr>
          <w:lang w:val="ru-RU"/>
        </w:rPr>
      </w:pPr>
    </w:p>
    <w:p w14:paraId="277AE9EF" w14:textId="77777777" w:rsidR="000C367D" w:rsidRPr="00F90960" w:rsidRDefault="000C367D">
      <w:pPr>
        <w:pStyle w:val="a3"/>
        <w:spacing w:before="100"/>
        <w:rPr>
          <w:lang w:val="ru-RU"/>
        </w:rPr>
      </w:pPr>
    </w:p>
    <w:p w14:paraId="316D35BD" w14:textId="085AE25F" w:rsidR="000C367D" w:rsidRPr="00F90960" w:rsidRDefault="00F90960">
      <w:pPr>
        <w:pStyle w:val="1"/>
        <w:ind w:right="36"/>
        <w:rPr>
          <w:lang w:val="ru-RU"/>
        </w:rPr>
      </w:pPr>
      <w:r>
        <w:rPr>
          <w:lang w:val="ru-RU"/>
        </w:rPr>
        <w:t>ПРИЛОЖЕНИЕ</w:t>
      </w:r>
    </w:p>
    <w:p w14:paraId="45B36B2D" w14:textId="77777777" w:rsidR="000C367D" w:rsidRPr="00F90960" w:rsidRDefault="009D5104">
      <w:pPr>
        <w:spacing w:before="274"/>
        <w:ind w:left="205" w:right="36"/>
        <w:jc w:val="center"/>
        <w:rPr>
          <w:b/>
          <w:i/>
          <w:sz w:val="24"/>
          <w:lang w:val="ru-RU"/>
        </w:rPr>
      </w:pPr>
      <w:r w:rsidRPr="00F90960">
        <w:rPr>
          <w:b/>
          <w:i/>
          <w:sz w:val="24"/>
          <w:lang w:val="ru-RU"/>
        </w:rPr>
        <w:t>в</w:t>
      </w:r>
    </w:p>
    <w:p w14:paraId="0F237D2F" w14:textId="77777777" w:rsidR="000C367D" w:rsidRPr="00F90960" w:rsidRDefault="009D5104">
      <w:pPr>
        <w:pStyle w:val="1"/>
        <w:spacing w:before="238"/>
        <w:ind w:left="1337" w:right="1170" w:hanging="3"/>
        <w:rPr>
          <w:lang w:val="ru-RU"/>
        </w:rPr>
      </w:pPr>
      <w:r w:rsidRPr="00F90960">
        <w:rPr>
          <w:lang w:val="ru-RU"/>
        </w:rPr>
        <w:t>СОВМЕСТНОЕ СООБЩЕНИЕ ЕВРОПЕЙСКОМУ ПАРЛАМЕНТУ, ЕВРОПЕЙСКОМУ СОВЕТУ, СОВЕТУ, ЕВРОПЕЙСКОМУ ЭКОНОМИЧЕСКОМУ И СОЦИАЛЬНОМУ КОМИТЕТУ И КОМИТЕТУ РЕГИОНОВ</w:t>
      </w:r>
    </w:p>
    <w:p w14:paraId="5F8633C3" w14:textId="77777777" w:rsidR="000C367D" w:rsidRPr="00F90960" w:rsidRDefault="000C367D">
      <w:pPr>
        <w:pStyle w:val="a3"/>
        <w:spacing w:before="235"/>
        <w:rPr>
          <w:b/>
          <w:lang w:val="ru-RU"/>
        </w:rPr>
      </w:pPr>
    </w:p>
    <w:p w14:paraId="3A7CA8D1" w14:textId="77777777" w:rsidR="000C367D" w:rsidRPr="00F90960" w:rsidRDefault="009D5104">
      <w:pPr>
        <w:ind w:left="205" w:right="38"/>
        <w:jc w:val="center"/>
        <w:rPr>
          <w:b/>
          <w:sz w:val="24"/>
          <w:lang w:val="ru-RU"/>
        </w:rPr>
      </w:pPr>
      <w:r w:rsidRPr="00F90960">
        <w:rPr>
          <w:b/>
          <w:sz w:val="24"/>
          <w:lang w:val="ru-RU"/>
        </w:rPr>
        <w:t>о Стратегии Европейского союза готовности</w:t>
      </w:r>
    </w:p>
    <w:p w14:paraId="5B651FC2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51803A67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3F4D74F5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198CB84B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10DD8E05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1E9E06AC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2F72B872" w14:textId="77777777" w:rsidR="000C367D" w:rsidRPr="00F90960" w:rsidRDefault="000C367D">
      <w:pPr>
        <w:pStyle w:val="a3"/>
        <w:rPr>
          <w:b/>
          <w:sz w:val="48"/>
          <w:lang w:val="ru-RU"/>
        </w:rPr>
      </w:pPr>
    </w:p>
    <w:p w14:paraId="5F1ABD96" w14:textId="77777777" w:rsidR="000C367D" w:rsidRPr="00F90960" w:rsidRDefault="000C367D">
      <w:pPr>
        <w:pStyle w:val="a3"/>
        <w:spacing w:before="542"/>
        <w:rPr>
          <w:b/>
          <w:sz w:val="48"/>
          <w:lang w:val="ru-RU"/>
        </w:rPr>
      </w:pPr>
    </w:p>
    <w:p w14:paraId="23F9A004" w14:textId="77777777" w:rsidR="000C367D" w:rsidRPr="00F90960" w:rsidRDefault="000C367D">
      <w:pPr>
        <w:pStyle w:val="a4"/>
        <w:rPr>
          <w:lang w:val="ru-RU"/>
        </w:rPr>
        <w:sectPr w:rsidR="000C367D" w:rsidRPr="00F90960">
          <w:type w:val="continuous"/>
          <w:pgSz w:w="11910" w:h="16840"/>
          <w:pgMar w:top="1460" w:right="566" w:bottom="280" w:left="425" w:header="720" w:footer="720" w:gutter="0"/>
          <w:cols w:space="720"/>
        </w:sectPr>
      </w:pPr>
    </w:p>
    <w:p w14:paraId="3A7C7DB7" w14:textId="77777777" w:rsidR="000C367D" w:rsidRPr="00F90960" w:rsidRDefault="009D5104">
      <w:pPr>
        <w:pStyle w:val="1"/>
        <w:spacing w:before="61"/>
        <w:rPr>
          <w:lang w:val="ru-RU"/>
        </w:rPr>
      </w:pPr>
      <w:r w:rsidRPr="00F90960">
        <w:rPr>
          <w:lang w:val="ru-RU"/>
        </w:rPr>
        <w:lastRenderedPageBreak/>
        <w:t>Стратегия Союза готовности – План действий</w:t>
      </w:r>
    </w:p>
    <w:p w14:paraId="54EF9B2A" w14:textId="77777777" w:rsidR="000C367D" w:rsidRPr="00F90960" w:rsidRDefault="000C367D">
      <w:pPr>
        <w:pStyle w:val="a3"/>
        <w:spacing w:before="199"/>
        <w:rPr>
          <w:b/>
          <w:lang w:val="ru-RU"/>
        </w:rPr>
      </w:pPr>
    </w:p>
    <w:p w14:paraId="07207141" w14:textId="77777777" w:rsidR="000C367D" w:rsidRPr="00F90960" w:rsidRDefault="009D5104">
      <w:pPr>
        <w:pStyle w:val="a3"/>
        <w:ind w:left="1015" w:right="871"/>
        <w:jc w:val="both"/>
        <w:rPr>
          <w:lang w:val="ru-RU"/>
        </w:rPr>
      </w:pPr>
      <w:r w:rsidRPr="00F90960">
        <w:rPr>
          <w:lang w:val="ru-RU"/>
        </w:rPr>
        <w:t>Для реализации видения, представленного в Стратегии Союза по обеспечению готовности, Комиссия, Верховный представитель и государства-члены должны осуществить действия, перечисленные в настоящем приложении. Эти действия перечислены в каждом тематическом разделе стратегии, в которую они вносят, включая ориентировочный график реализации.</w:t>
      </w:r>
    </w:p>
    <w:p w14:paraId="02A579AC" w14:textId="77777777" w:rsidR="000C367D" w:rsidRPr="00F90960" w:rsidRDefault="000C367D">
      <w:pPr>
        <w:pStyle w:val="a3"/>
        <w:rPr>
          <w:sz w:val="20"/>
          <w:lang w:val="ru-RU"/>
        </w:rPr>
      </w:pPr>
    </w:p>
    <w:p w14:paraId="213971A9" w14:textId="77777777" w:rsidR="000C367D" w:rsidRPr="00F90960" w:rsidRDefault="000C367D">
      <w:pPr>
        <w:pStyle w:val="a3"/>
        <w:spacing w:before="57"/>
        <w:rPr>
          <w:sz w:val="20"/>
          <w:lang w:val="ru-RU"/>
        </w:r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14:paraId="72AC2553" w14:textId="77777777">
        <w:trPr>
          <w:trHeight w:val="671"/>
        </w:trPr>
        <w:tc>
          <w:tcPr>
            <w:tcW w:w="511" w:type="dxa"/>
          </w:tcPr>
          <w:p w14:paraId="33CA2063" w14:textId="77777777" w:rsidR="000C367D" w:rsidRDefault="009D5104">
            <w:pPr>
              <w:pStyle w:val="TableParagraph"/>
              <w:spacing w:line="275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6325" w:type="dxa"/>
          </w:tcPr>
          <w:p w14:paraId="6C494516" w14:textId="77777777" w:rsidR="000C367D" w:rsidRDefault="009D510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Действие</w:t>
            </w:r>
          </w:p>
        </w:tc>
        <w:tc>
          <w:tcPr>
            <w:tcW w:w="1525" w:type="dxa"/>
          </w:tcPr>
          <w:p w14:paraId="51EC5600" w14:textId="77777777" w:rsidR="000C367D" w:rsidRDefault="009D510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Ориентировочный график</w:t>
            </w:r>
          </w:p>
        </w:tc>
      </w:tr>
      <w:tr w:rsidR="000C367D" w14:paraId="120CCF0B" w14:textId="77777777">
        <w:trPr>
          <w:trHeight w:val="794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5120CD7F" w14:textId="77777777" w:rsidR="000C367D" w:rsidRDefault="000C367D">
            <w:pPr>
              <w:pStyle w:val="TableParagraph"/>
              <w:spacing w:before="121"/>
              <w:ind w:left="0"/>
              <w:rPr>
                <w:sz w:val="24"/>
              </w:rPr>
            </w:pPr>
          </w:p>
          <w:p w14:paraId="72787426" w14:textId="77777777" w:rsidR="000C367D" w:rsidRDefault="009D5104">
            <w:pPr>
              <w:pStyle w:val="TableParagraph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1. Предвидение и предвидение</w:t>
            </w:r>
          </w:p>
        </w:tc>
      </w:tr>
      <w:tr w:rsidR="000C367D" w14:paraId="1654376C" w14:textId="77777777">
        <w:trPr>
          <w:trHeight w:val="671"/>
        </w:trPr>
        <w:tc>
          <w:tcPr>
            <w:tcW w:w="511" w:type="dxa"/>
          </w:tcPr>
          <w:p w14:paraId="106F8894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325" w:type="dxa"/>
          </w:tcPr>
          <w:p w14:paraId="21D7565B" w14:textId="77777777" w:rsidR="000C367D" w:rsidRPr="00F90960" w:rsidRDefault="009D5104">
            <w:pPr>
              <w:pStyle w:val="TableParagraph"/>
              <w:ind w:right="196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Разработка комплексной оценки рисков и угроз ЕС</w:t>
            </w:r>
          </w:p>
        </w:tc>
        <w:tc>
          <w:tcPr>
            <w:tcW w:w="1525" w:type="dxa"/>
          </w:tcPr>
          <w:p w14:paraId="5D18AA90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7DC0EA67" w14:textId="77777777">
        <w:trPr>
          <w:trHeight w:val="395"/>
        </w:trPr>
        <w:tc>
          <w:tcPr>
            <w:tcW w:w="511" w:type="dxa"/>
          </w:tcPr>
          <w:p w14:paraId="37DEED4C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325" w:type="dxa"/>
          </w:tcPr>
          <w:p w14:paraId="7E4245E3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Настройте «кризисную панель» для лиц, принимающих решения</w:t>
            </w:r>
          </w:p>
        </w:tc>
        <w:tc>
          <w:tcPr>
            <w:tcW w:w="1525" w:type="dxa"/>
          </w:tcPr>
          <w:p w14:paraId="4F80080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3A03BE95" w14:textId="77777777">
        <w:trPr>
          <w:trHeight w:val="671"/>
        </w:trPr>
        <w:tc>
          <w:tcPr>
            <w:tcW w:w="511" w:type="dxa"/>
          </w:tcPr>
          <w:p w14:paraId="6CED66E7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325" w:type="dxa"/>
          </w:tcPr>
          <w:p w14:paraId="6A91A4ED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Укрепление Координационного центра реагирования на чрезвычайные ситуации (</w:t>
            </w:r>
            <w:r>
              <w:rPr>
                <w:b/>
                <w:sz w:val="24"/>
              </w:rPr>
              <w:t>ERCC</w:t>
            </w:r>
            <w:r w:rsidRPr="00F90960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525" w:type="dxa"/>
          </w:tcPr>
          <w:p w14:paraId="7070FF6C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3737DBC2" w14:textId="77777777">
        <w:trPr>
          <w:trHeight w:val="671"/>
        </w:trPr>
        <w:tc>
          <w:tcPr>
            <w:tcW w:w="511" w:type="dxa"/>
          </w:tcPr>
          <w:p w14:paraId="3CB326C8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325" w:type="dxa"/>
          </w:tcPr>
          <w:p w14:paraId="3FE39987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Разработка каталога ЕС для обучения и платформы для извлеченных уроков</w:t>
            </w:r>
          </w:p>
        </w:tc>
        <w:tc>
          <w:tcPr>
            <w:tcW w:w="1525" w:type="dxa"/>
          </w:tcPr>
          <w:p w14:paraId="1985A5D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3AEBD606" w14:textId="77777777">
        <w:trPr>
          <w:trHeight w:val="671"/>
        </w:trPr>
        <w:tc>
          <w:tcPr>
            <w:tcW w:w="511" w:type="dxa"/>
          </w:tcPr>
          <w:p w14:paraId="74F67338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325" w:type="dxa"/>
          </w:tcPr>
          <w:p w14:paraId="2DAF3211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Создание Государственной службы ЕС по наблюдению за Землей (</w:t>
            </w:r>
            <w:r>
              <w:rPr>
                <w:b/>
                <w:sz w:val="24"/>
              </w:rPr>
              <w:t>EOGS</w:t>
            </w:r>
            <w:r w:rsidRPr="00F90960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525" w:type="dxa"/>
          </w:tcPr>
          <w:p w14:paraId="3520806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09E5DC2C" w14:textId="77777777">
        <w:trPr>
          <w:trHeight w:val="1224"/>
        </w:trPr>
        <w:tc>
          <w:tcPr>
            <w:tcW w:w="511" w:type="dxa"/>
          </w:tcPr>
          <w:p w14:paraId="047E8AC3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325" w:type="dxa"/>
          </w:tcPr>
          <w:p w14:paraId="059E0182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Создать Европейскую платформу управления кризисами </w:t>
            </w:r>
            <w:r w:rsidRPr="00F9096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ECMP</w:t>
            </w:r>
            <w:r w:rsidRPr="00F90960">
              <w:rPr>
                <w:sz w:val="24"/>
                <w:lang w:val="ru-RU"/>
              </w:rPr>
              <w:t>), которая интегрирует и гармонизирует существующие системы раннего предупреждения и другие инструменты, а также обеспечивает межсекторальный обмен информацией и координацию во время чрезвычайных ситуаций.</w:t>
            </w:r>
          </w:p>
        </w:tc>
        <w:tc>
          <w:tcPr>
            <w:tcW w:w="1525" w:type="dxa"/>
          </w:tcPr>
          <w:p w14:paraId="19AC813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691CE3D1" w14:textId="77777777">
        <w:trPr>
          <w:trHeight w:val="950"/>
        </w:trPr>
        <w:tc>
          <w:tcPr>
            <w:tcW w:w="511" w:type="dxa"/>
          </w:tcPr>
          <w:p w14:paraId="523C3882" w14:textId="77777777" w:rsidR="000C367D" w:rsidRDefault="009D5104"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325" w:type="dxa"/>
          </w:tcPr>
          <w:p w14:paraId="6B50B9BA" w14:textId="77777777" w:rsidR="000C367D" w:rsidRPr="00F90960" w:rsidRDefault="009D5104">
            <w:pPr>
              <w:pStyle w:val="TableParagraph"/>
              <w:spacing w:before="1"/>
              <w:ind w:right="221"/>
              <w:jc w:val="bot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Разработка специальных стратегий сдерживания субъектов угрозы </w:t>
            </w:r>
            <w:r w:rsidRPr="00F90960">
              <w:rPr>
                <w:sz w:val="24"/>
                <w:lang w:val="ru-RU"/>
              </w:rPr>
              <w:t>, где это уместно, для предотвращения, сдерживания и реагирования на конкретные угрозы, нацеленные на ЕС с помощью гибридных действий.</w:t>
            </w:r>
          </w:p>
        </w:tc>
        <w:tc>
          <w:tcPr>
            <w:tcW w:w="1525" w:type="dxa"/>
          </w:tcPr>
          <w:p w14:paraId="12F200FF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43609B7" w14:textId="77777777">
        <w:trPr>
          <w:trHeight w:val="947"/>
        </w:trPr>
        <w:tc>
          <w:tcPr>
            <w:tcW w:w="511" w:type="dxa"/>
          </w:tcPr>
          <w:p w14:paraId="145CB713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325" w:type="dxa"/>
          </w:tcPr>
          <w:p w14:paraId="43E807D4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Содействие использованию и интеграции «Коперника»</w:t>
            </w:r>
          </w:p>
          <w:p w14:paraId="37812523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Служба по чрезвычайным ситуациям (</w:t>
            </w:r>
            <w:r>
              <w:rPr>
                <w:b/>
                <w:sz w:val="24"/>
              </w:rPr>
              <w:t>CEMS</w:t>
            </w:r>
            <w:r w:rsidRPr="00F90960">
              <w:rPr>
                <w:b/>
                <w:sz w:val="24"/>
                <w:lang w:val="ru-RU"/>
              </w:rPr>
              <w:t xml:space="preserve">) </w:t>
            </w:r>
            <w:r w:rsidRPr="00F90960">
              <w:rPr>
                <w:sz w:val="24"/>
                <w:lang w:val="ru-RU"/>
              </w:rPr>
              <w:t>по природным опасностям в национальных системах планирования, мониторинга и раннего предупреждения</w:t>
            </w:r>
          </w:p>
        </w:tc>
        <w:tc>
          <w:tcPr>
            <w:tcW w:w="1525" w:type="dxa"/>
          </w:tcPr>
          <w:p w14:paraId="707A7060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585C31D3" w14:textId="77777777">
        <w:trPr>
          <w:trHeight w:val="1500"/>
        </w:trPr>
        <w:tc>
          <w:tcPr>
            <w:tcW w:w="511" w:type="dxa"/>
          </w:tcPr>
          <w:p w14:paraId="481F6841" w14:textId="77777777" w:rsidR="000C367D" w:rsidRDefault="009D5104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325" w:type="dxa"/>
          </w:tcPr>
          <w:p w14:paraId="77EF56FB" w14:textId="77777777" w:rsidR="000C367D" w:rsidRPr="00F90960" w:rsidRDefault="009D5104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Усиление мониторинга иностранных информационных манипуляций, вмешательства и дезинформации </w:t>
            </w:r>
            <w:r w:rsidRPr="00F90960">
              <w:rPr>
                <w:sz w:val="24"/>
                <w:lang w:val="ru-RU"/>
              </w:rPr>
              <w:t>в рамках предстоящего «Щита европейской демократии», в том числе путем</w:t>
            </w:r>
          </w:p>
          <w:p w14:paraId="33E8E56D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анализ уровня угроз и оценка меняющихся рисков кампаний по дезинформации.</w:t>
            </w:r>
          </w:p>
        </w:tc>
        <w:tc>
          <w:tcPr>
            <w:tcW w:w="1525" w:type="dxa"/>
          </w:tcPr>
          <w:p w14:paraId="08B66563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0382BC85" w14:textId="77777777">
        <w:trPr>
          <w:trHeight w:val="1223"/>
        </w:trPr>
        <w:tc>
          <w:tcPr>
            <w:tcW w:w="511" w:type="dxa"/>
          </w:tcPr>
          <w:p w14:paraId="63F04198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6325" w:type="dxa"/>
          </w:tcPr>
          <w:p w14:paraId="13114B2C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Создать в Комиссии Интегрированный оперативный центр безопасности (</w:t>
            </w:r>
            <w:r>
              <w:rPr>
                <w:b/>
                <w:sz w:val="24"/>
              </w:rPr>
              <w:t>ISOC</w:t>
            </w:r>
            <w:r w:rsidRPr="00F90960">
              <w:rPr>
                <w:b/>
                <w:sz w:val="24"/>
                <w:lang w:val="ru-RU"/>
              </w:rPr>
              <w:t xml:space="preserve">) </w:t>
            </w:r>
            <w:r w:rsidRPr="00F90960">
              <w:rPr>
                <w:sz w:val="24"/>
                <w:lang w:val="ru-RU"/>
              </w:rPr>
              <w:t>для мониторинга, анализа и смягчения потенциальных угроз для Комиссии и обеспечения непрерывности операций в кризисных ситуациях.</w:t>
            </w:r>
          </w:p>
        </w:tc>
        <w:tc>
          <w:tcPr>
            <w:tcW w:w="1525" w:type="dxa"/>
          </w:tcPr>
          <w:p w14:paraId="197DA07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</w:tbl>
    <w:p w14:paraId="4986FD61" w14:textId="77777777" w:rsidR="000C367D" w:rsidRDefault="000C367D">
      <w:pPr>
        <w:pStyle w:val="TableParagraph"/>
        <w:spacing w:line="275" w:lineRule="exact"/>
        <w:rPr>
          <w:sz w:val="24"/>
        </w:rPr>
        <w:sectPr w:rsidR="000C367D">
          <w:footerReference w:type="default" r:id="rId7"/>
          <w:pgSz w:w="11910" w:h="16840"/>
          <w:pgMar w:top="1720" w:right="566" w:bottom="1694" w:left="425" w:header="0" w:footer="739" w:gutter="0"/>
          <w:pgNumType w:start="1"/>
          <w:cols w:space="720"/>
        </w:sect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14:paraId="7AB81B2D" w14:textId="77777777">
        <w:trPr>
          <w:trHeight w:val="948"/>
        </w:trPr>
        <w:tc>
          <w:tcPr>
            <w:tcW w:w="511" w:type="dxa"/>
          </w:tcPr>
          <w:p w14:paraId="5AB33B84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325" w:type="dxa"/>
          </w:tcPr>
          <w:p w14:paraId="28FF2985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Разработать Европейскую систему оповещения о кибербезопасности </w:t>
            </w:r>
            <w:r w:rsidRPr="00F90960">
              <w:rPr>
                <w:sz w:val="24"/>
                <w:lang w:val="ru-RU"/>
              </w:rPr>
              <w:t>для улучшения общего обнаружения киберугроз и осведомленности о ситуации на европейском уровне.</w:t>
            </w:r>
          </w:p>
        </w:tc>
        <w:tc>
          <w:tcPr>
            <w:tcW w:w="1525" w:type="dxa"/>
          </w:tcPr>
          <w:p w14:paraId="5FE8A2BD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:rsidRPr="00F90960" w14:paraId="6AA593CE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03F78A7B" w14:textId="77777777" w:rsidR="000C367D" w:rsidRPr="00F90960" w:rsidRDefault="000C367D">
            <w:pPr>
              <w:pStyle w:val="TableParagraph"/>
              <w:spacing w:before="118"/>
              <w:ind w:left="0"/>
              <w:rPr>
                <w:sz w:val="24"/>
                <w:lang w:val="ru-RU"/>
              </w:rPr>
            </w:pPr>
          </w:p>
          <w:p w14:paraId="4A885159" w14:textId="77777777" w:rsidR="000C367D" w:rsidRPr="00F90960" w:rsidRDefault="009D5104">
            <w:pPr>
              <w:pStyle w:val="TableParagraph"/>
              <w:spacing w:before="1"/>
              <w:ind w:left="623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u w:val="single"/>
                <w:lang w:val="ru-RU"/>
              </w:rPr>
              <w:t>2. Устойчивость жизненно важных функций общества</w:t>
            </w:r>
          </w:p>
        </w:tc>
      </w:tr>
      <w:tr w:rsidR="000C367D" w14:paraId="72BD2A7E" w14:textId="77777777">
        <w:trPr>
          <w:trHeight w:val="671"/>
        </w:trPr>
        <w:tc>
          <w:tcPr>
            <w:tcW w:w="511" w:type="dxa"/>
          </w:tcPr>
          <w:p w14:paraId="6D2422D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325" w:type="dxa"/>
          </w:tcPr>
          <w:p w14:paraId="1E58BC17" w14:textId="77777777" w:rsidR="000C367D" w:rsidRPr="00F90960" w:rsidRDefault="009D5104">
            <w:pPr>
              <w:pStyle w:val="TableParagraph"/>
              <w:ind w:right="196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Встраивание проектной готовности в политику и действия ЕС</w:t>
            </w:r>
          </w:p>
        </w:tc>
        <w:tc>
          <w:tcPr>
            <w:tcW w:w="1525" w:type="dxa"/>
          </w:tcPr>
          <w:p w14:paraId="4D34841D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3E05F242" w14:textId="77777777">
        <w:trPr>
          <w:trHeight w:val="398"/>
        </w:trPr>
        <w:tc>
          <w:tcPr>
            <w:tcW w:w="511" w:type="dxa"/>
          </w:tcPr>
          <w:p w14:paraId="5E141B6F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325" w:type="dxa"/>
          </w:tcPr>
          <w:p w14:paraId="446D4E4F" w14:textId="77777777" w:rsidR="000C367D" w:rsidRPr="00F90960" w:rsidRDefault="009D5104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Примите минимальные требования к готовности</w:t>
            </w:r>
          </w:p>
        </w:tc>
        <w:tc>
          <w:tcPr>
            <w:tcW w:w="1525" w:type="dxa"/>
          </w:tcPr>
          <w:p w14:paraId="30621680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5DCB05D5" w14:textId="77777777">
        <w:trPr>
          <w:trHeight w:val="395"/>
        </w:trPr>
        <w:tc>
          <w:tcPr>
            <w:tcW w:w="511" w:type="dxa"/>
          </w:tcPr>
          <w:p w14:paraId="052BABF1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325" w:type="dxa"/>
          </w:tcPr>
          <w:p w14:paraId="776FE77B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Пересмотреть механизм гражданской защиты ЕС</w:t>
            </w:r>
          </w:p>
        </w:tc>
        <w:tc>
          <w:tcPr>
            <w:tcW w:w="1525" w:type="dxa"/>
          </w:tcPr>
          <w:p w14:paraId="1B105CF6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412C9752" w14:textId="77777777">
        <w:trPr>
          <w:trHeight w:val="395"/>
        </w:trPr>
        <w:tc>
          <w:tcPr>
            <w:tcW w:w="511" w:type="dxa"/>
          </w:tcPr>
          <w:p w14:paraId="50ABAC9F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325" w:type="dxa"/>
          </w:tcPr>
          <w:p w14:paraId="650A2D58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Предложить стратегию накопления запасов в ЕС</w:t>
            </w:r>
          </w:p>
        </w:tc>
        <w:tc>
          <w:tcPr>
            <w:tcW w:w="1525" w:type="dxa"/>
          </w:tcPr>
          <w:p w14:paraId="527A8426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AADC002" w14:textId="77777777">
        <w:trPr>
          <w:trHeight w:val="395"/>
        </w:trPr>
        <w:tc>
          <w:tcPr>
            <w:tcW w:w="511" w:type="dxa"/>
          </w:tcPr>
          <w:p w14:paraId="66B605BF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325" w:type="dxa"/>
          </w:tcPr>
          <w:p w14:paraId="70074BDF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Предложить план адаптации к изменению климата</w:t>
            </w:r>
          </w:p>
        </w:tc>
        <w:tc>
          <w:tcPr>
            <w:tcW w:w="1525" w:type="dxa"/>
          </w:tcPr>
          <w:p w14:paraId="62F6A1E5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64C2EB4E" w14:textId="77777777">
        <w:trPr>
          <w:trHeight w:val="672"/>
        </w:trPr>
        <w:tc>
          <w:tcPr>
            <w:tcW w:w="511" w:type="dxa"/>
          </w:tcPr>
          <w:p w14:paraId="66ABE331" w14:textId="77777777" w:rsidR="000C367D" w:rsidRDefault="009D5104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325" w:type="dxa"/>
          </w:tcPr>
          <w:p w14:paraId="6B37C02A" w14:textId="77777777" w:rsidR="000C367D" w:rsidRPr="00F90960" w:rsidRDefault="009D5104">
            <w:pPr>
              <w:pStyle w:val="TableParagraph"/>
              <w:ind w:right="196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Обеспечение водоснабжения и других критически важных природных ресурсов</w:t>
            </w:r>
          </w:p>
        </w:tc>
        <w:tc>
          <w:tcPr>
            <w:tcW w:w="1525" w:type="dxa"/>
          </w:tcPr>
          <w:p w14:paraId="54D404A4" w14:textId="77777777" w:rsidR="000C367D" w:rsidRDefault="009D51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1EF70C3" w14:textId="77777777">
        <w:trPr>
          <w:trHeight w:val="671"/>
        </w:trPr>
        <w:tc>
          <w:tcPr>
            <w:tcW w:w="511" w:type="dxa"/>
          </w:tcPr>
          <w:p w14:paraId="24CA0679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6325" w:type="dxa"/>
          </w:tcPr>
          <w:p w14:paraId="75672273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Создание Европейского космического щита </w:t>
            </w:r>
            <w:r w:rsidRPr="00F90960">
              <w:rPr>
                <w:sz w:val="24"/>
                <w:lang w:val="ru-RU"/>
              </w:rPr>
              <w:t>для лучшей защиты интересов безопасности ЕС и его государств-членов.</w:t>
            </w:r>
          </w:p>
        </w:tc>
        <w:tc>
          <w:tcPr>
            <w:tcW w:w="1525" w:type="dxa"/>
          </w:tcPr>
          <w:p w14:paraId="10A19575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1DE92DE7" w14:textId="77777777">
        <w:trPr>
          <w:trHeight w:val="397"/>
        </w:trPr>
        <w:tc>
          <w:tcPr>
            <w:tcW w:w="511" w:type="dxa"/>
          </w:tcPr>
          <w:p w14:paraId="79C5B8B6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6325" w:type="dxa"/>
          </w:tcPr>
          <w:p w14:paraId="314C1016" w14:textId="77777777" w:rsidR="000C367D" w:rsidRPr="00F90960" w:rsidRDefault="009D51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Принять стратегию поддержки медицинских контрмер.</w:t>
            </w:r>
          </w:p>
        </w:tc>
        <w:tc>
          <w:tcPr>
            <w:tcW w:w="1525" w:type="dxa"/>
          </w:tcPr>
          <w:p w14:paraId="4E11DA1B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72FC60E5" w14:textId="77777777">
        <w:trPr>
          <w:trHeight w:val="1895"/>
        </w:trPr>
        <w:tc>
          <w:tcPr>
            <w:tcW w:w="511" w:type="dxa"/>
          </w:tcPr>
          <w:p w14:paraId="1592C69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6325" w:type="dxa"/>
          </w:tcPr>
          <w:p w14:paraId="3AD885BD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Разработка Плана Союза по профилактике, обеспечению готовности и реагированию на кризисы в области здравоохранения</w:t>
            </w:r>
          </w:p>
          <w:p w14:paraId="1F8F6E11" w14:textId="77777777" w:rsidR="000C367D" w:rsidRPr="00F90960" w:rsidRDefault="009D5104">
            <w:pPr>
              <w:pStyle w:val="TableParagraph"/>
              <w:spacing w:before="119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В соответствии с Регламентом 2022/2371 Комиссия опубликует План ЕС по профилактике, готовности и реагированию на кризисы в области здравоохранения в консультации с государствами-членами и соответствующими агентствами и органами ЕС.</w:t>
            </w:r>
          </w:p>
        </w:tc>
        <w:tc>
          <w:tcPr>
            <w:tcW w:w="1525" w:type="dxa"/>
          </w:tcPr>
          <w:p w14:paraId="5C7E43D0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6D2D83F2" w14:textId="77777777">
        <w:trPr>
          <w:trHeight w:val="1775"/>
        </w:trPr>
        <w:tc>
          <w:tcPr>
            <w:tcW w:w="511" w:type="dxa"/>
          </w:tcPr>
          <w:p w14:paraId="571E2554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6325" w:type="dxa"/>
          </w:tcPr>
          <w:p w14:paraId="3A8AF656" w14:textId="77777777" w:rsidR="000C367D" w:rsidRPr="00F90960" w:rsidRDefault="009D5104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Создание платформы для агрегации спроса и</w:t>
            </w:r>
          </w:p>
          <w:p w14:paraId="00190D86" w14:textId="77777777" w:rsidR="000C367D" w:rsidRPr="00F90960" w:rsidRDefault="009D5104">
            <w:pPr>
              <w:pStyle w:val="TableParagraph"/>
              <w:ind w:right="183"/>
              <w:jc w:val="bot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Механизм подбора партнеров для стратегического сырья</w:t>
            </w:r>
            <w:r w:rsidRPr="00F90960">
              <w:rPr>
                <w:sz w:val="24"/>
                <w:lang w:val="ru-RU"/>
              </w:rPr>
              <w:t xml:space="preserve">. В качестве второго шага, в дополнение к Закону о критических сырьевых материалах, было создано специальное </w:t>
            </w:r>
            <w:r w:rsidRPr="00F90960">
              <w:rPr>
                <w:b/>
                <w:sz w:val="24"/>
                <w:lang w:val="ru-RU"/>
              </w:rPr>
              <w:t xml:space="preserve">Центр ЕС по критическому сырью. </w:t>
            </w:r>
          </w:p>
          <w:p w14:paraId="5C287DB5" w14:textId="77777777" w:rsidR="000C367D" w:rsidRPr="00F90960" w:rsidRDefault="009D5104">
            <w:pPr>
              <w:pStyle w:val="TableParagraph"/>
              <w:ind w:right="928"/>
              <w:jc w:val="bot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совместная закупка сырья по поручению заинтересованных компаний и в сотрудничестве с государствами-членами.</w:t>
            </w:r>
          </w:p>
        </w:tc>
        <w:tc>
          <w:tcPr>
            <w:tcW w:w="1525" w:type="dxa"/>
          </w:tcPr>
          <w:p w14:paraId="186B732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61009C32" w14:textId="77777777">
        <w:trPr>
          <w:trHeight w:val="1499"/>
        </w:trPr>
        <w:tc>
          <w:tcPr>
            <w:tcW w:w="511" w:type="dxa"/>
          </w:tcPr>
          <w:p w14:paraId="062BC085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6325" w:type="dxa"/>
          </w:tcPr>
          <w:p w14:paraId="57856D7B" w14:textId="77777777" w:rsidR="000C367D" w:rsidRPr="00F90960" w:rsidRDefault="009D5104">
            <w:pPr>
              <w:pStyle w:val="TableParagraph"/>
              <w:ind w:right="553"/>
              <w:jc w:val="bot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Предложить Закон об экономике замкнутого цикла </w:t>
            </w:r>
            <w:r w:rsidRPr="00F90960">
              <w:rPr>
                <w:sz w:val="24"/>
                <w:lang w:val="ru-RU"/>
              </w:rPr>
              <w:t>для повышения спроса на вторичные материалы, товары и услуги, возникающие в результате деятельности в экономике замкнутого цикла, улучшить функционирование экономики.</w:t>
            </w:r>
          </w:p>
          <w:p w14:paraId="34C5E63E" w14:textId="77777777" w:rsidR="000C367D" w:rsidRPr="00F90960" w:rsidRDefault="009D5104">
            <w:pPr>
              <w:pStyle w:val="TableParagraph"/>
              <w:ind w:right="349"/>
              <w:jc w:val="bot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Единый рынок отходов и вторичных материалов, а также сокращение захоронения и сжигания отходов.</w:t>
            </w:r>
          </w:p>
        </w:tc>
        <w:tc>
          <w:tcPr>
            <w:tcW w:w="1525" w:type="dxa"/>
          </w:tcPr>
          <w:p w14:paraId="271EBB35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4D2F4934" w14:textId="77777777">
        <w:trPr>
          <w:trHeight w:val="1224"/>
        </w:trPr>
        <w:tc>
          <w:tcPr>
            <w:tcW w:w="511" w:type="dxa"/>
          </w:tcPr>
          <w:p w14:paraId="6F750FFD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6325" w:type="dxa"/>
          </w:tcPr>
          <w:p w14:paraId="78F35757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Пересмотреть систему энергетической безопасности поставок </w:t>
            </w:r>
            <w:r w:rsidRPr="00F90960">
              <w:rPr>
                <w:sz w:val="24"/>
                <w:lang w:val="ru-RU"/>
              </w:rPr>
              <w:t>, чтобы учесть уроки вторжения в Украину и адаптировать ее</w:t>
            </w:r>
          </w:p>
          <w:p w14:paraId="2A6A9D51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геополитического контекста и создать более простую, динамичную и перспективную будущую структуру.</w:t>
            </w:r>
          </w:p>
        </w:tc>
        <w:tc>
          <w:tcPr>
            <w:tcW w:w="1525" w:type="dxa"/>
          </w:tcPr>
          <w:p w14:paraId="5721F7E1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7503A719" w14:textId="77777777">
        <w:trPr>
          <w:trHeight w:val="1223"/>
        </w:trPr>
        <w:tc>
          <w:tcPr>
            <w:tcW w:w="511" w:type="dxa"/>
          </w:tcPr>
          <w:p w14:paraId="2A18414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6325" w:type="dxa"/>
          </w:tcPr>
          <w:p w14:paraId="7F8C53FE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Повышение готовности и устойчивости секторов «голубой» экономики и прибрежных сообществ </w:t>
            </w:r>
            <w:r w:rsidRPr="00F90960">
              <w:rPr>
                <w:sz w:val="24"/>
                <w:lang w:val="ru-RU"/>
              </w:rPr>
              <w:t>с помощью Пакта ЕС об океане и Коммюнике по устойчивости прибрежных районов.</w:t>
            </w:r>
          </w:p>
          <w:p w14:paraId="457F415E" w14:textId="77777777" w:rsidR="000C367D" w:rsidRDefault="009D5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</w:tcPr>
          <w:p w14:paraId="3DFB83FF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</w:tbl>
    <w:p w14:paraId="282E65A4" w14:textId="77777777" w:rsidR="000C367D" w:rsidRDefault="000C367D">
      <w:pPr>
        <w:pStyle w:val="TableParagraph"/>
        <w:spacing w:line="275" w:lineRule="exact"/>
        <w:rPr>
          <w:sz w:val="24"/>
        </w:rPr>
        <w:sectPr w:rsidR="000C367D">
          <w:type w:val="continuous"/>
          <w:pgSz w:w="11910" w:h="16840"/>
          <w:pgMar w:top="1400" w:right="566" w:bottom="920" w:left="425" w:header="0" w:footer="739" w:gutter="0"/>
          <w:cols w:space="720"/>
        </w:sect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14:paraId="0BDA39CC" w14:textId="77777777">
        <w:trPr>
          <w:trHeight w:val="2328"/>
        </w:trPr>
        <w:tc>
          <w:tcPr>
            <w:tcW w:w="511" w:type="dxa"/>
          </w:tcPr>
          <w:p w14:paraId="16FE0C4A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6325" w:type="dxa"/>
          </w:tcPr>
          <w:p w14:paraId="2B2A1FD7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Оценка уровня готовности в сфере финансовых услуг</w:t>
            </w:r>
            <w:r w:rsidRPr="00F90960">
              <w:rPr>
                <w:sz w:val="24"/>
                <w:lang w:val="ru-RU"/>
              </w:rPr>
              <w:t>, в частности, способности обеспечить непрерывность критически важных услуг.</w:t>
            </w:r>
          </w:p>
          <w:p w14:paraId="0A145459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функции, платежи и финансирование экономики при любых обстоятельствах. В отчете должны быть выявлены и отображены потенциальные возможности</w:t>
            </w:r>
          </w:p>
          <w:p w14:paraId="48F49A9F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недостатков и должны быть подготовлены в координации с государствами-членами, европейскими надзорными органами,</w:t>
            </w:r>
          </w:p>
          <w:p w14:paraId="6ADC99C1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Европейский центральный банк, Европейский совет по системным рискам,</w:t>
            </w:r>
          </w:p>
          <w:p w14:paraId="2C0372B5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Единый совет по санации и индустрия финансовых услуг.</w:t>
            </w:r>
          </w:p>
        </w:tc>
        <w:tc>
          <w:tcPr>
            <w:tcW w:w="1525" w:type="dxa"/>
          </w:tcPr>
          <w:p w14:paraId="1B544B52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7FBB323C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4DE7F2A4" w14:textId="77777777" w:rsidR="000C367D" w:rsidRDefault="000C367D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14:paraId="56546BDF" w14:textId="77777777" w:rsidR="000C367D" w:rsidRDefault="009D5104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3. Готовность населения</w:t>
            </w:r>
          </w:p>
        </w:tc>
      </w:tr>
      <w:tr w:rsidR="000C367D" w14:paraId="60F7A473" w14:textId="77777777">
        <w:trPr>
          <w:trHeight w:val="395"/>
        </w:trPr>
        <w:tc>
          <w:tcPr>
            <w:tcW w:w="511" w:type="dxa"/>
          </w:tcPr>
          <w:p w14:paraId="4B831B09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6325" w:type="dxa"/>
          </w:tcPr>
          <w:p w14:paraId="7FB11031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Совершенствование систем раннего предупреждения</w:t>
            </w:r>
          </w:p>
        </w:tc>
        <w:tc>
          <w:tcPr>
            <w:tcW w:w="1525" w:type="dxa"/>
          </w:tcPr>
          <w:p w14:paraId="46C7258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4EDDC8C1" w14:textId="77777777">
        <w:trPr>
          <w:trHeight w:val="397"/>
        </w:trPr>
        <w:tc>
          <w:tcPr>
            <w:tcW w:w="511" w:type="dxa"/>
          </w:tcPr>
          <w:p w14:paraId="176CCC03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6325" w:type="dxa"/>
          </w:tcPr>
          <w:p w14:paraId="43DB48B6" w14:textId="77777777" w:rsidR="000C367D" w:rsidRPr="00F90960" w:rsidRDefault="009D5104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Повышение осведомленности о рисках и угрозах</w:t>
            </w:r>
          </w:p>
        </w:tc>
        <w:tc>
          <w:tcPr>
            <w:tcW w:w="1525" w:type="dxa"/>
          </w:tcPr>
          <w:p w14:paraId="4E813BBE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04CE513" w14:textId="77777777">
        <w:trPr>
          <w:trHeight w:val="672"/>
        </w:trPr>
        <w:tc>
          <w:tcPr>
            <w:tcW w:w="511" w:type="dxa"/>
          </w:tcPr>
          <w:p w14:paraId="2D6B810F" w14:textId="77777777" w:rsidR="000C367D" w:rsidRDefault="009D5104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6325" w:type="dxa"/>
          </w:tcPr>
          <w:p w14:paraId="1042FA56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Разработка руководящих принципов для достижения самодостаточности населения не менее чем за 72 часа</w:t>
            </w:r>
          </w:p>
        </w:tc>
        <w:tc>
          <w:tcPr>
            <w:tcW w:w="1525" w:type="dxa"/>
          </w:tcPr>
          <w:p w14:paraId="748A7F91" w14:textId="77777777" w:rsidR="000C367D" w:rsidRDefault="009D51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12BFF530" w14:textId="77777777">
        <w:trPr>
          <w:trHeight w:val="671"/>
        </w:trPr>
        <w:tc>
          <w:tcPr>
            <w:tcW w:w="511" w:type="dxa"/>
          </w:tcPr>
          <w:p w14:paraId="20FCC61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6325" w:type="dxa"/>
          </w:tcPr>
          <w:p w14:paraId="1C4774EA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Включить вопросы подготовки в школьные учебные программы и подготовку педагогических кадров</w:t>
            </w:r>
          </w:p>
        </w:tc>
        <w:tc>
          <w:tcPr>
            <w:tcW w:w="1525" w:type="dxa"/>
          </w:tcPr>
          <w:p w14:paraId="7C5CE4BC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16692E7B" w14:textId="77777777">
        <w:trPr>
          <w:trHeight w:val="395"/>
        </w:trPr>
        <w:tc>
          <w:tcPr>
            <w:tcW w:w="511" w:type="dxa"/>
          </w:tcPr>
          <w:p w14:paraId="692DF3B3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6325" w:type="dxa"/>
          </w:tcPr>
          <w:p w14:paraId="22EAFBE3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Повышение готовности в молодежных программах</w:t>
            </w:r>
          </w:p>
        </w:tc>
        <w:tc>
          <w:tcPr>
            <w:tcW w:w="1525" w:type="dxa"/>
          </w:tcPr>
          <w:p w14:paraId="2BCDEF7C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6EB8975" w14:textId="77777777">
        <w:trPr>
          <w:trHeight w:val="671"/>
        </w:trPr>
        <w:tc>
          <w:tcPr>
            <w:tcW w:w="511" w:type="dxa"/>
          </w:tcPr>
          <w:p w14:paraId="5C28F4A1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6325" w:type="dxa"/>
          </w:tcPr>
          <w:p w14:paraId="2A3DBD6D" w14:textId="77777777" w:rsidR="000C367D" w:rsidRPr="00F90960" w:rsidRDefault="009D5104">
            <w:pPr>
              <w:pStyle w:val="TableParagraph"/>
              <w:ind w:right="196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Привлечение талантов для повышения готовности ЕС</w:t>
            </w:r>
          </w:p>
        </w:tc>
        <w:tc>
          <w:tcPr>
            <w:tcW w:w="1525" w:type="dxa"/>
          </w:tcPr>
          <w:p w14:paraId="1D98B885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075273F" w14:textId="77777777">
        <w:trPr>
          <w:trHeight w:val="1223"/>
        </w:trPr>
        <w:tc>
          <w:tcPr>
            <w:tcW w:w="511" w:type="dxa"/>
          </w:tcPr>
          <w:p w14:paraId="1504F764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6325" w:type="dxa"/>
          </w:tcPr>
          <w:p w14:paraId="7A937F68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Расширение и оптимизация соответствующих сервисов </w:t>
            </w:r>
            <w:r>
              <w:rPr>
                <w:b/>
                <w:sz w:val="24"/>
              </w:rPr>
              <w:t>Galileo</w:t>
            </w:r>
          </w:p>
          <w:p w14:paraId="078BAEF2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Спутниковая служба аварийного оповещения (</w:t>
            </w:r>
            <w:r>
              <w:rPr>
                <w:sz w:val="24"/>
              </w:rPr>
              <w:t>EWSS</w:t>
            </w:r>
            <w:r w:rsidRPr="00F90960">
              <w:rPr>
                <w:sz w:val="24"/>
                <w:lang w:val="ru-RU"/>
              </w:rPr>
              <w:t>) для обеспечения</w:t>
            </w:r>
          </w:p>
          <w:p w14:paraId="14C33EA0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lastRenderedPageBreak/>
              <w:t>своевременное и точное оповещение граждан о неминуемых рисках, угрозах и мерах безопасности или во время кризисных ситуаций.</w:t>
            </w:r>
          </w:p>
        </w:tc>
        <w:tc>
          <w:tcPr>
            <w:tcW w:w="1525" w:type="dxa"/>
          </w:tcPr>
          <w:p w14:paraId="21464942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2026</w:t>
            </w:r>
          </w:p>
        </w:tc>
      </w:tr>
      <w:tr w:rsidR="000C367D" w14:paraId="215C5A8A" w14:textId="77777777">
        <w:trPr>
          <w:trHeight w:val="1223"/>
        </w:trPr>
        <w:tc>
          <w:tcPr>
            <w:tcW w:w="511" w:type="dxa"/>
          </w:tcPr>
          <w:p w14:paraId="496F4D30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6325" w:type="dxa"/>
          </w:tcPr>
          <w:p w14:paraId="4DF11835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Разработка руководящих принципов действий в чрезвычайных ситуациях, адаптированных ко всем видам инвалидности </w:t>
            </w:r>
            <w:r w:rsidRPr="00F90960">
              <w:rPr>
                <w:sz w:val="24"/>
                <w:lang w:val="ru-RU"/>
              </w:rPr>
              <w:t>(сенсорной, физической, интеллектуальной), а также обучение сотрудников служб экстренного реагирования распознаванию типа инвалидности и действиям в соответствии с ней.</w:t>
            </w:r>
          </w:p>
        </w:tc>
        <w:tc>
          <w:tcPr>
            <w:tcW w:w="1525" w:type="dxa"/>
          </w:tcPr>
          <w:p w14:paraId="353A8711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E1A678A" w14:textId="77777777">
        <w:trPr>
          <w:trHeight w:val="1502"/>
        </w:trPr>
        <w:tc>
          <w:tcPr>
            <w:tcW w:w="511" w:type="dxa"/>
          </w:tcPr>
          <w:p w14:paraId="6F0A1EEC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6325" w:type="dxa"/>
          </w:tcPr>
          <w:p w14:paraId="725125D0" w14:textId="77777777" w:rsidR="000C367D" w:rsidRPr="00F90960" w:rsidRDefault="009D51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Активизировать работу по повышению цифровой и медийной грамотности</w:t>
            </w:r>
            <w:r w:rsidRPr="00F90960">
              <w:rPr>
                <w:sz w:val="24"/>
                <w:lang w:val="ru-RU"/>
              </w:rPr>
              <w:t>, в том числе в контексте предстоящего Европейского щита демократии и Дорожной карты по будущему цифрового образования и навыков до 2030 года.</w:t>
            </w:r>
          </w:p>
          <w:p w14:paraId="2E2493ED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Развивайте критическое мышление и повышайте устойчивость к дезинформации и киберугрозам с раннего возраста.</w:t>
            </w:r>
          </w:p>
        </w:tc>
        <w:tc>
          <w:tcPr>
            <w:tcW w:w="1525" w:type="dxa"/>
          </w:tcPr>
          <w:p w14:paraId="4C4BAC36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3B87C79" w14:textId="77777777">
        <w:trPr>
          <w:trHeight w:val="1776"/>
        </w:trPr>
        <w:tc>
          <w:tcPr>
            <w:tcW w:w="511" w:type="dxa"/>
          </w:tcPr>
          <w:p w14:paraId="2602DD65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6325" w:type="dxa"/>
          </w:tcPr>
          <w:p w14:paraId="56F43160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Внедрение функции публичного оповещения кошельков ЕС </w:t>
            </w:r>
            <w:r>
              <w:rPr>
                <w:b/>
                <w:sz w:val="24"/>
              </w:rPr>
              <w:t>Digital</w:t>
            </w:r>
            <w:r w:rsidRPr="00F90960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 w:rsidRPr="00F90960">
              <w:rPr>
                <w:b/>
                <w:sz w:val="24"/>
                <w:lang w:val="ru-RU"/>
              </w:rPr>
              <w:t xml:space="preserve"> для </w:t>
            </w:r>
            <w:r w:rsidRPr="00F90960">
              <w:rPr>
                <w:sz w:val="24"/>
                <w:lang w:val="ru-RU"/>
              </w:rPr>
              <w:t>простого и аутентифицированного способа</w:t>
            </w:r>
          </w:p>
          <w:p w14:paraId="711706DD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 xml:space="preserve">правительствам для прямой связи с гражданами во время кризисов. В рамках </w:t>
            </w:r>
            <w:proofErr w:type="spellStart"/>
            <w:r>
              <w:rPr>
                <w:sz w:val="24"/>
              </w:rPr>
              <w:t>PreparEU</w:t>
            </w:r>
            <w:proofErr w:type="spellEnd"/>
            <w:r w:rsidRPr="00F90960">
              <w:rPr>
                <w:sz w:val="24"/>
                <w:lang w:val="ru-RU"/>
              </w:rPr>
              <w:t>, платформа (веб-сайт, приложение и т.д.) будет предоставлять гражданам и туристам ЕС информацию,</w:t>
            </w:r>
          </w:p>
          <w:p w14:paraId="1B6F4812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предупреждения и оповещения, адаптированные к различным рискам и угрозам.</w:t>
            </w:r>
          </w:p>
        </w:tc>
        <w:tc>
          <w:tcPr>
            <w:tcW w:w="1525" w:type="dxa"/>
          </w:tcPr>
          <w:p w14:paraId="172C90B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9F62540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778BE613" w14:textId="77777777" w:rsidR="000C367D" w:rsidRDefault="000C367D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14:paraId="4D0668FA" w14:textId="77777777" w:rsidR="000C367D" w:rsidRDefault="009D5104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4. Государственно-частное сотрудничество</w:t>
            </w:r>
          </w:p>
        </w:tc>
      </w:tr>
      <w:tr w:rsidR="000C367D" w14:paraId="6157C5A9" w14:textId="77777777">
        <w:trPr>
          <w:trHeight w:val="671"/>
        </w:trPr>
        <w:tc>
          <w:tcPr>
            <w:tcW w:w="511" w:type="dxa"/>
          </w:tcPr>
          <w:p w14:paraId="42FFC757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6325" w:type="dxa"/>
          </w:tcPr>
          <w:p w14:paraId="698F2C32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Создание государственно-частной целевой группы по обеспечению готовности</w:t>
            </w:r>
          </w:p>
        </w:tc>
        <w:tc>
          <w:tcPr>
            <w:tcW w:w="1525" w:type="dxa"/>
          </w:tcPr>
          <w:p w14:paraId="349F60F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 w14:paraId="7F46CDBD" w14:textId="77777777" w:rsidR="000C367D" w:rsidRDefault="000C367D">
      <w:pPr>
        <w:pStyle w:val="TableParagraph"/>
        <w:spacing w:line="275" w:lineRule="exact"/>
        <w:rPr>
          <w:sz w:val="24"/>
        </w:rPr>
        <w:sectPr w:rsidR="000C367D">
          <w:type w:val="continuous"/>
          <w:pgSz w:w="11910" w:h="16840"/>
          <w:pgMar w:top="1400" w:right="566" w:bottom="1585" w:left="425" w:header="0" w:footer="739" w:gutter="0"/>
          <w:cols w:space="720"/>
        </w:sect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14:paraId="4F7450F4" w14:textId="77777777">
        <w:trPr>
          <w:trHeight w:val="396"/>
        </w:trPr>
        <w:tc>
          <w:tcPr>
            <w:tcW w:w="511" w:type="dxa"/>
          </w:tcPr>
          <w:p w14:paraId="5A4FDAB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6325" w:type="dxa"/>
          </w:tcPr>
          <w:p w14:paraId="4485D56D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Разработка государственно-частных протоколов действий в чрезвычайных ситуациях</w:t>
            </w:r>
          </w:p>
        </w:tc>
        <w:tc>
          <w:tcPr>
            <w:tcW w:w="1525" w:type="dxa"/>
          </w:tcPr>
          <w:p w14:paraId="5D598C9D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3F199877" w14:textId="77777777">
        <w:trPr>
          <w:trHeight w:val="395"/>
        </w:trPr>
        <w:tc>
          <w:tcPr>
            <w:tcW w:w="511" w:type="dxa"/>
          </w:tcPr>
          <w:p w14:paraId="3C528C63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6325" w:type="dxa"/>
          </w:tcPr>
          <w:p w14:paraId="45E09372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Пересмотр системы государственных закупок</w:t>
            </w:r>
          </w:p>
        </w:tc>
        <w:tc>
          <w:tcPr>
            <w:tcW w:w="1525" w:type="dxa"/>
          </w:tcPr>
          <w:p w14:paraId="53856251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DBF1D76" w14:textId="77777777">
        <w:trPr>
          <w:trHeight w:val="1223"/>
        </w:trPr>
        <w:tc>
          <w:tcPr>
            <w:tcW w:w="511" w:type="dxa"/>
          </w:tcPr>
          <w:p w14:paraId="53FADB4E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6325" w:type="dxa"/>
          </w:tcPr>
          <w:p w14:paraId="59BC2384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(ключевое действие) Создание Европейского экспертного центра по безопасности научных исследований </w:t>
            </w:r>
            <w:r w:rsidRPr="00F90960">
              <w:rPr>
                <w:sz w:val="24"/>
                <w:lang w:val="ru-RU"/>
              </w:rPr>
              <w:t>для инвестирования в доказательную базу для</w:t>
            </w:r>
          </w:p>
          <w:p w14:paraId="21AB532D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разработка политики и создание сообщества практиков по всему ЕС.</w:t>
            </w:r>
          </w:p>
        </w:tc>
        <w:tc>
          <w:tcPr>
            <w:tcW w:w="1525" w:type="dxa"/>
          </w:tcPr>
          <w:p w14:paraId="44A29F1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416587D" w14:textId="77777777">
        <w:trPr>
          <w:trHeight w:val="950"/>
        </w:trPr>
        <w:tc>
          <w:tcPr>
            <w:tcW w:w="511" w:type="dxa"/>
          </w:tcPr>
          <w:p w14:paraId="17DA105C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6325" w:type="dxa"/>
          </w:tcPr>
          <w:p w14:paraId="23B260C1" w14:textId="77777777" w:rsidR="000C367D" w:rsidRPr="00F90960" w:rsidRDefault="009D5104">
            <w:pPr>
              <w:pStyle w:val="TableParagraph"/>
              <w:spacing w:before="1"/>
              <w:ind w:right="488"/>
              <w:jc w:val="bot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Проанализируйте кризисные инструменты ЕС, чтобы оценить, должны ли они привести в действие схему принудительного лицензирования ЕС </w:t>
            </w:r>
            <w:r w:rsidRPr="00F90960">
              <w:rPr>
                <w:sz w:val="24"/>
                <w:lang w:val="ru-RU"/>
              </w:rPr>
              <w:t>и, при необходимости, обновить список.</w:t>
            </w:r>
          </w:p>
        </w:tc>
        <w:tc>
          <w:tcPr>
            <w:tcW w:w="1525" w:type="dxa"/>
          </w:tcPr>
          <w:p w14:paraId="0D36A2F5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498856D7" w14:textId="77777777">
        <w:trPr>
          <w:trHeight w:val="947"/>
        </w:trPr>
        <w:tc>
          <w:tcPr>
            <w:tcW w:w="511" w:type="dxa"/>
          </w:tcPr>
          <w:p w14:paraId="684D71D3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41.</w:t>
            </w:r>
          </w:p>
        </w:tc>
        <w:tc>
          <w:tcPr>
            <w:tcW w:w="6325" w:type="dxa"/>
          </w:tcPr>
          <w:p w14:paraId="7E149140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Разработать индивидуальную методологию тестирования устойчивости </w:t>
            </w:r>
            <w:r w:rsidRPr="00F90960">
              <w:rPr>
                <w:sz w:val="24"/>
                <w:lang w:val="ru-RU"/>
              </w:rPr>
              <w:t>для оценки готовности и устойчивости государств-членов</w:t>
            </w:r>
          </w:p>
          <w:p w14:paraId="76155023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научно-исследовательский и инновационный секторы.</w:t>
            </w:r>
          </w:p>
        </w:tc>
        <w:tc>
          <w:tcPr>
            <w:tcW w:w="1525" w:type="dxa"/>
          </w:tcPr>
          <w:p w14:paraId="2AB053B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68D6FA0F" w14:textId="77777777">
        <w:trPr>
          <w:trHeight w:val="1224"/>
        </w:trPr>
        <w:tc>
          <w:tcPr>
            <w:tcW w:w="511" w:type="dxa"/>
          </w:tcPr>
          <w:p w14:paraId="0E785B43" w14:textId="77777777" w:rsidR="000C367D" w:rsidRDefault="009D5104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6325" w:type="dxa"/>
          </w:tcPr>
          <w:p w14:paraId="3A51D50F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Организовать Саммит по обеспечению готовности социальных партнеров </w:t>
            </w:r>
            <w:r w:rsidRPr="00F90960">
              <w:rPr>
                <w:sz w:val="24"/>
                <w:lang w:val="ru-RU"/>
              </w:rPr>
              <w:t>с целью расширения участия социальных партнеров в развитии и развитии</w:t>
            </w:r>
          </w:p>
          <w:p w14:paraId="7067715F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реализация инициатив по повышению готовности и обмену передовым опытом</w:t>
            </w:r>
          </w:p>
        </w:tc>
        <w:tc>
          <w:tcPr>
            <w:tcW w:w="1525" w:type="dxa"/>
          </w:tcPr>
          <w:p w14:paraId="4B7529F2" w14:textId="77777777" w:rsidR="000C367D" w:rsidRDefault="009D510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2F05B9DA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1A4406CA" w14:textId="77777777" w:rsidR="000C367D" w:rsidRDefault="000C367D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14:paraId="3EC53818" w14:textId="77777777" w:rsidR="000C367D" w:rsidRDefault="009D5104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5. Гражданско-военное сотрудничество</w:t>
            </w:r>
          </w:p>
        </w:tc>
      </w:tr>
      <w:tr w:rsidR="000C367D" w14:paraId="13D29B29" w14:textId="77777777">
        <w:trPr>
          <w:trHeight w:val="671"/>
        </w:trPr>
        <w:tc>
          <w:tcPr>
            <w:tcW w:w="511" w:type="dxa"/>
          </w:tcPr>
          <w:p w14:paraId="09B79E77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6325" w:type="dxa"/>
          </w:tcPr>
          <w:p w14:paraId="6446EC88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Создание всеобъемлющих механизмов гражданско-военной готовности</w:t>
            </w:r>
          </w:p>
        </w:tc>
        <w:tc>
          <w:tcPr>
            <w:tcW w:w="1525" w:type="dxa"/>
          </w:tcPr>
          <w:p w14:paraId="0FED0B2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6762A384" w14:textId="77777777">
        <w:trPr>
          <w:trHeight w:val="671"/>
        </w:trPr>
        <w:tc>
          <w:tcPr>
            <w:tcW w:w="511" w:type="dxa"/>
          </w:tcPr>
          <w:p w14:paraId="1197374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6325" w:type="dxa"/>
          </w:tcPr>
          <w:p w14:paraId="712F9DC4" w14:textId="77777777" w:rsidR="000C367D" w:rsidRPr="00F90960" w:rsidRDefault="009D5104">
            <w:pPr>
              <w:pStyle w:val="TableParagraph"/>
              <w:ind w:right="196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Разработка стандартов для планирования и инвестирования в гражданско-военные объекты двойного назначения</w:t>
            </w:r>
          </w:p>
        </w:tc>
        <w:tc>
          <w:tcPr>
            <w:tcW w:w="1525" w:type="dxa"/>
          </w:tcPr>
          <w:p w14:paraId="4AC44A49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0698C46B" w14:textId="77777777">
        <w:trPr>
          <w:trHeight w:val="672"/>
        </w:trPr>
        <w:tc>
          <w:tcPr>
            <w:tcW w:w="511" w:type="dxa"/>
          </w:tcPr>
          <w:p w14:paraId="4E27E65B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6325" w:type="dxa"/>
          </w:tcPr>
          <w:p w14:paraId="6BBCFE02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Организовывать регулярные учения ЕС для содействия всесторонней готовности</w:t>
            </w:r>
          </w:p>
        </w:tc>
        <w:tc>
          <w:tcPr>
            <w:tcW w:w="1525" w:type="dxa"/>
          </w:tcPr>
          <w:p w14:paraId="4C69817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16F28CE1" w14:textId="77777777">
        <w:trPr>
          <w:trHeight w:val="950"/>
        </w:trPr>
        <w:tc>
          <w:tcPr>
            <w:tcW w:w="511" w:type="dxa"/>
          </w:tcPr>
          <w:p w14:paraId="2DB3FEF6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6325" w:type="dxa"/>
          </w:tcPr>
          <w:p w14:paraId="6D48DEC8" w14:textId="77777777" w:rsidR="000C367D" w:rsidRPr="00F90960" w:rsidRDefault="009D51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Запустить площадку для обмена передовым национальным опытом </w:t>
            </w:r>
            <w:r w:rsidRPr="00F90960">
              <w:rPr>
                <w:sz w:val="24"/>
                <w:lang w:val="ru-RU"/>
              </w:rPr>
              <w:t>в области военно-гражданского взаимодействия и взаимодополняющего использования гражданских и военных активов.</w:t>
            </w:r>
          </w:p>
        </w:tc>
        <w:tc>
          <w:tcPr>
            <w:tcW w:w="1525" w:type="dxa"/>
          </w:tcPr>
          <w:p w14:paraId="1F97A06F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51FD58BC" w14:textId="77777777">
        <w:trPr>
          <w:trHeight w:val="947"/>
        </w:trPr>
        <w:tc>
          <w:tcPr>
            <w:tcW w:w="511" w:type="dxa"/>
          </w:tcPr>
          <w:p w14:paraId="7213634F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6325" w:type="dxa"/>
          </w:tcPr>
          <w:p w14:paraId="6CD5CA27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Организация регулярных учений с участием НАТО</w:t>
            </w:r>
            <w:r w:rsidRPr="00F90960">
              <w:rPr>
                <w:sz w:val="24"/>
                <w:lang w:val="ru-RU"/>
              </w:rPr>
              <w:t>, в том числе в рамках параллельных и скоординированных учений ЕС-НАТО (ПАСЕ)</w:t>
            </w:r>
          </w:p>
          <w:p w14:paraId="60B92F21" w14:textId="77777777" w:rsidR="000C367D" w:rsidRDefault="009D51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</w:tcPr>
          <w:p w14:paraId="3B51F3A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55FC6681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7F4202EE" w14:textId="77777777" w:rsidR="000C367D" w:rsidRDefault="000C367D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14:paraId="22774E1D" w14:textId="77777777" w:rsidR="000C367D" w:rsidRDefault="009D5104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6. Реагирование на кризисные ситуации</w:t>
            </w:r>
          </w:p>
        </w:tc>
      </w:tr>
      <w:tr w:rsidR="000C367D" w14:paraId="76620249" w14:textId="77777777">
        <w:trPr>
          <w:trHeight w:val="395"/>
        </w:trPr>
        <w:tc>
          <w:tcPr>
            <w:tcW w:w="511" w:type="dxa"/>
          </w:tcPr>
          <w:p w14:paraId="4EF55700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6325" w:type="dxa"/>
          </w:tcPr>
          <w:p w14:paraId="351789AC" w14:textId="77777777" w:rsidR="000C367D" w:rsidRPr="00F90960" w:rsidRDefault="009D5104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Создание центра координации кризисных ситуаций в ЕС</w:t>
            </w:r>
          </w:p>
        </w:tc>
        <w:tc>
          <w:tcPr>
            <w:tcW w:w="1525" w:type="dxa"/>
          </w:tcPr>
          <w:p w14:paraId="630949D3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2027</w:t>
            </w:r>
          </w:p>
        </w:tc>
      </w:tr>
      <w:tr w:rsidR="000C367D" w14:paraId="76D49FF6" w14:textId="77777777">
        <w:trPr>
          <w:trHeight w:val="672"/>
        </w:trPr>
        <w:tc>
          <w:tcPr>
            <w:tcW w:w="511" w:type="dxa"/>
          </w:tcPr>
          <w:p w14:paraId="28FE942C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6325" w:type="dxa"/>
          </w:tcPr>
          <w:p w14:paraId="498713F5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(ключевое действие) </w:t>
            </w:r>
            <w:r>
              <w:rPr>
                <w:b/>
                <w:sz w:val="24"/>
              </w:rPr>
              <w:t>Boost</w:t>
            </w:r>
            <w:r w:rsidRPr="00F9096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rescEU</w:t>
            </w:r>
            <w:proofErr w:type="spellEnd"/>
            <w:r w:rsidRPr="00F90960">
              <w:rPr>
                <w:b/>
                <w:sz w:val="24"/>
                <w:lang w:val="ru-RU"/>
              </w:rPr>
              <w:t xml:space="preserve"> – резерв возможностей реагирования на уровне ЕС</w:t>
            </w:r>
          </w:p>
        </w:tc>
        <w:tc>
          <w:tcPr>
            <w:tcW w:w="1525" w:type="dxa"/>
          </w:tcPr>
          <w:p w14:paraId="5E156BC7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48766379" w14:textId="77777777">
        <w:trPr>
          <w:trHeight w:val="1775"/>
        </w:trPr>
        <w:tc>
          <w:tcPr>
            <w:tcW w:w="511" w:type="dxa"/>
          </w:tcPr>
          <w:p w14:paraId="5609851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6325" w:type="dxa"/>
          </w:tcPr>
          <w:p w14:paraId="4642E22C" w14:textId="77777777" w:rsidR="000C367D" w:rsidRPr="00F90960" w:rsidRDefault="009D5104">
            <w:pPr>
              <w:pStyle w:val="TableParagraph"/>
              <w:ind w:right="131"/>
              <w:jc w:val="bot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Разработать протокол ЕС по урегулированию кризисов </w:t>
            </w:r>
            <w:r w:rsidRPr="00F90960">
              <w:rPr>
                <w:sz w:val="24"/>
                <w:lang w:val="ru-RU"/>
              </w:rPr>
              <w:t>, в котором будут определены роли и обязанности различных служб, уточнены механизмы управления кризисами на стратегическом уровне ЕС (в том числе</w:t>
            </w:r>
          </w:p>
          <w:p w14:paraId="0EEB9BA3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>
              <w:rPr>
                <w:sz w:val="24"/>
              </w:rPr>
              <w:t>IPCR</w:t>
            </w:r>
            <w:r w:rsidRPr="00F90960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ARGUS</w:t>
            </w:r>
            <w:r w:rsidRPr="00F90960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EEAS</w:t>
            </w:r>
            <w:r w:rsidRPr="00F9096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CRM</w:t>
            </w:r>
            <w:r w:rsidRPr="00F90960">
              <w:rPr>
                <w:sz w:val="24"/>
                <w:lang w:val="ru-RU"/>
              </w:rPr>
              <w:t>, активизация положения о солидарности и их взаимодействие, а также усиление/оптимизация эффективности каждого секторального плана действий в кризисных ситуациях.</w:t>
            </w:r>
          </w:p>
        </w:tc>
        <w:tc>
          <w:tcPr>
            <w:tcW w:w="1525" w:type="dxa"/>
          </w:tcPr>
          <w:p w14:paraId="7FBE740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 w14:paraId="00D2E982" w14:textId="77777777" w:rsidR="000C367D" w:rsidRDefault="000C367D">
      <w:pPr>
        <w:pStyle w:val="TableParagraph"/>
        <w:spacing w:line="275" w:lineRule="exact"/>
        <w:rPr>
          <w:sz w:val="24"/>
        </w:rPr>
        <w:sectPr w:rsidR="000C367D">
          <w:type w:val="continuous"/>
          <w:pgSz w:w="11910" w:h="16840"/>
          <w:pgMar w:top="1400" w:right="566" w:bottom="1463" w:left="425" w:header="0" w:footer="739" w:gutter="0"/>
          <w:cols w:space="720"/>
        </w:sect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14:paraId="578C15C7" w14:textId="77777777">
        <w:trPr>
          <w:trHeight w:val="672"/>
        </w:trPr>
        <w:tc>
          <w:tcPr>
            <w:tcW w:w="511" w:type="dxa"/>
          </w:tcPr>
          <w:p w14:paraId="3654DDD2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6325" w:type="dxa"/>
          </w:tcPr>
          <w:p w14:paraId="70CE809A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Принять руководящие принципы для «стресс-тестирования» центров реагирования на чрезвычайные ситуации и кризисных центров </w:t>
            </w:r>
            <w:r w:rsidRPr="00F90960">
              <w:rPr>
                <w:sz w:val="24"/>
                <w:lang w:val="ru-RU"/>
              </w:rPr>
              <w:t>по всему ЕС.</w:t>
            </w:r>
          </w:p>
        </w:tc>
        <w:tc>
          <w:tcPr>
            <w:tcW w:w="1525" w:type="dxa"/>
          </w:tcPr>
          <w:p w14:paraId="3D288BE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47548123" w14:textId="77777777">
        <w:trPr>
          <w:trHeight w:val="1775"/>
        </w:trPr>
        <w:tc>
          <w:tcPr>
            <w:tcW w:w="511" w:type="dxa"/>
          </w:tcPr>
          <w:p w14:paraId="342C4C9C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6325" w:type="dxa"/>
          </w:tcPr>
          <w:p w14:paraId="2283C3EE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Предложить правовую основу для Европейских критических систем связи (</w:t>
            </w:r>
            <w:r>
              <w:rPr>
                <w:b/>
                <w:sz w:val="24"/>
              </w:rPr>
              <w:t>EUCCS</w:t>
            </w:r>
            <w:r w:rsidRPr="00F90960">
              <w:rPr>
                <w:b/>
                <w:sz w:val="24"/>
                <w:lang w:val="ru-RU"/>
              </w:rPr>
              <w:t xml:space="preserve">) </w:t>
            </w:r>
            <w:r w:rsidRPr="00F90960">
              <w:rPr>
                <w:sz w:val="24"/>
                <w:lang w:val="ru-RU"/>
              </w:rPr>
              <w:t>для трансграничных перевозок</w:t>
            </w:r>
          </w:p>
          <w:p w14:paraId="34005156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Деятельность правоохранительных органов, органов гражданской обороны, (общественного) здравоохранения и других органов общественной безопасности и общественной безопасности</w:t>
            </w:r>
          </w:p>
          <w:p w14:paraId="0B3D1BD9" w14:textId="77777777" w:rsidR="000C367D" w:rsidRPr="00F90960" w:rsidRDefault="009D5104">
            <w:pPr>
              <w:pStyle w:val="TableParagraph"/>
              <w:ind w:right="196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 xml:space="preserve">и поддерживать дальнейшее техническое развитие, включая его связь с </w:t>
            </w:r>
            <w:r>
              <w:rPr>
                <w:sz w:val="24"/>
              </w:rPr>
              <w:t>GOVSATCOM</w:t>
            </w:r>
            <w:r w:rsidRPr="00F90960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IRIS</w:t>
            </w:r>
            <w:r w:rsidRPr="00F90960">
              <w:rPr>
                <w:sz w:val="24"/>
                <w:lang w:val="ru-RU"/>
              </w:rPr>
              <w:t>2.</w:t>
            </w:r>
          </w:p>
        </w:tc>
        <w:tc>
          <w:tcPr>
            <w:tcW w:w="1525" w:type="dxa"/>
          </w:tcPr>
          <w:p w14:paraId="426211DF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367F96F3" w14:textId="77777777">
        <w:trPr>
          <w:trHeight w:val="947"/>
        </w:trPr>
        <w:tc>
          <w:tcPr>
            <w:tcW w:w="511" w:type="dxa"/>
          </w:tcPr>
          <w:p w14:paraId="0FEAEF7D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6325" w:type="dxa"/>
          </w:tcPr>
          <w:p w14:paraId="42F244BC" w14:textId="77777777" w:rsidR="000C367D" w:rsidRPr="00F90960" w:rsidRDefault="009D5104">
            <w:pPr>
              <w:pStyle w:val="TableParagraph"/>
              <w:ind w:right="6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Пересмотрите финансовые инструменты для антикризисного реагирования, чтобы убедиться, что механизмы кризисного финансирования являются масштабируемыми </w:t>
            </w:r>
            <w:r w:rsidRPr="00F90960">
              <w:rPr>
                <w:sz w:val="24"/>
                <w:lang w:val="ru-RU"/>
              </w:rPr>
              <w:t>и могут быть адаптированы к меняющимся рискам и кризисам.</w:t>
            </w:r>
          </w:p>
        </w:tc>
        <w:tc>
          <w:tcPr>
            <w:tcW w:w="1525" w:type="dxa"/>
          </w:tcPr>
          <w:p w14:paraId="6343AE38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2028</w:t>
            </w:r>
          </w:p>
        </w:tc>
      </w:tr>
      <w:tr w:rsidR="000C367D" w14:paraId="0AF84D1C" w14:textId="77777777">
        <w:trPr>
          <w:trHeight w:val="1778"/>
        </w:trPr>
        <w:tc>
          <w:tcPr>
            <w:tcW w:w="511" w:type="dxa"/>
          </w:tcPr>
          <w:p w14:paraId="57CEC4BD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6325" w:type="dxa"/>
          </w:tcPr>
          <w:p w14:paraId="325E660C" w14:textId="77777777" w:rsidR="000C367D" w:rsidRPr="00F90960" w:rsidRDefault="009D5104">
            <w:pPr>
              <w:pStyle w:val="TableParagraph"/>
              <w:spacing w:before="1"/>
              <w:ind w:right="6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Внедрить принцип «Готовности по замыслу» в работу делегаций ЕС, миссий и операций ОПБО, а также специальных представителей ЕС. </w:t>
            </w:r>
            <w:r w:rsidRPr="00F90960">
              <w:rPr>
                <w:sz w:val="24"/>
                <w:lang w:val="ru-RU"/>
              </w:rPr>
              <w:t>Укреплять способность делегаций ЕС оказывать поддержку дипломатическим и дипломатическим усилиям ЕС.</w:t>
            </w:r>
          </w:p>
          <w:p w14:paraId="6A7D9699" w14:textId="77777777" w:rsidR="000C367D" w:rsidRPr="00F90960" w:rsidRDefault="009D51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более эффективное политическое, оперативное и консульское реагирование на кризисы.</w:t>
            </w:r>
          </w:p>
        </w:tc>
        <w:tc>
          <w:tcPr>
            <w:tcW w:w="1525" w:type="dxa"/>
          </w:tcPr>
          <w:p w14:paraId="6F076D48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587ED41B" w14:textId="77777777">
        <w:trPr>
          <w:trHeight w:val="791"/>
        </w:trPr>
        <w:tc>
          <w:tcPr>
            <w:tcW w:w="8361" w:type="dxa"/>
            <w:gridSpan w:val="3"/>
            <w:tcBorders>
              <w:left w:val="nil"/>
              <w:right w:val="nil"/>
            </w:tcBorders>
          </w:tcPr>
          <w:p w14:paraId="72B2D8A7" w14:textId="77777777" w:rsidR="000C367D" w:rsidRDefault="000C367D">
            <w:pPr>
              <w:pStyle w:val="TableParagraph"/>
              <w:spacing w:before="118"/>
              <w:ind w:left="0"/>
              <w:rPr>
                <w:sz w:val="24"/>
              </w:rPr>
            </w:pPr>
          </w:p>
          <w:p w14:paraId="522E6252" w14:textId="77777777" w:rsidR="000C367D" w:rsidRDefault="009D5104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7. Устойчивость благодаря внешнему партнерству</w:t>
            </w:r>
          </w:p>
        </w:tc>
      </w:tr>
      <w:tr w:rsidR="000C367D" w14:paraId="3F3548D7" w14:textId="77777777">
        <w:trPr>
          <w:trHeight w:val="671"/>
        </w:trPr>
        <w:tc>
          <w:tcPr>
            <w:tcW w:w="511" w:type="dxa"/>
          </w:tcPr>
          <w:p w14:paraId="149BF45E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6325" w:type="dxa"/>
          </w:tcPr>
          <w:p w14:paraId="3DFA647C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Повышение взаимной устойчивости со странами-кандидатами</w:t>
            </w:r>
          </w:p>
        </w:tc>
        <w:tc>
          <w:tcPr>
            <w:tcW w:w="1525" w:type="dxa"/>
          </w:tcPr>
          <w:p w14:paraId="49EDB493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7E9909E5" w14:textId="77777777">
        <w:trPr>
          <w:trHeight w:val="671"/>
        </w:trPr>
        <w:tc>
          <w:tcPr>
            <w:tcW w:w="511" w:type="dxa"/>
          </w:tcPr>
          <w:p w14:paraId="7A3826FC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6325" w:type="dxa"/>
          </w:tcPr>
          <w:p w14:paraId="573C8B4E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Интеграция вопросов готовности и устойчивости в двусторонние партнерства и многосторонние учреждения</w:t>
            </w:r>
          </w:p>
        </w:tc>
        <w:tc>
          <w:tcPr>
            <w:tcW w:w="1525" w:type="dxa"/>
          </w:tcPr>
          <w:p w14:paraId="48B90F9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7D9D6382" w14:textId="77777777">
        <w:trPr>
          <w:trHeight w:val="672"/>
        </w:trPr>
        <w:tc>
          <w:tcPr>
            <w:tcW w:w="511" w:type="dxa"/>
          </w:tcPr>
          <w:p w14:paraId="501D8CCD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6325" w:type="dxa"/>
          </w:tcPr>
          <w:p w14:paraId="18AF82FF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Интегрировать вопросы готовности и устойчивости в сотрудничество с НАТО</w:t>
            </w:r>
          </w:p>
        </w:tc>
        <w:tc>
          <w:tcPr>
            <w:tcW w:w="1525" w:type="dxa"/>
          </w:tcPr>
          <w:p w14:paraId="2041210B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6084F8D6" w14:textId="77777777">
        <w:trPr>
          <w:trHeight w:val="671"/>
        </w:trPr>
        <w:tc>
          <w:tcPr>
            <w:tcW w:w="511" w:type="dxa"/>
          </w:tcPr>
          <w:p w14:paraId="19FF5B21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6325" w:type="dxa"/>
          </w:tcPr>
          <w:p w14:paraId="7457BFDA" w14:textId="77777777" w:rsidR="000C367D" w:rsidRPr="00F90960" w:rsidRDefault="009D5104">
            <w:pPr>
              <w:pStyle w:val="TableParagraph"/>
              <w:rPr>
                <w:b/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(ключевое действие) Развитие взаимной устойчивости с помощью внешней экономической политики и политики в области развития</w:t>
            </w:r>
          </w:p>
        </w:tc>
        <w:tc>
          <w:tcPr>
            <w:tcW w:w="1525" w:type="dxa"/>
          </w:tcPr>
          <w:p w14:paraId="6567F73E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26B1E16" w14:textId="77777777">
        <w:trPr>
          <w:trHeight w:val="947"/>
        </w:trPr>
        <w:tc>
          <w:tcPr>
            <w:tcW w:w="511" w:type="dxa"/>
          </w:tcPr>
          <w:p w14:paraId="684B187C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6325" w:type="dxa"/>
          </w:tcPr>
          <w:p w14:paraId="23F738B9" w14:textId="77777777" w:rsidR="000C367D" w:rsidRPr="00F90960" w:rsidRDefault="009D5104">
            <w:pPr>
              <w:pStyle w:val="TableParagraph"/>
              <w:ind w:right="61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Расширение сети специалистов-практиков </w:t>
            </w:r>
            <w:r w:rsidRPr="00F90960">
              <w:rPr>
                <w:sz w:val="24"/>
                <w:lang w:val="ru-RU"/>
              </w:rPr>
              <w:t xml:space="preserve">для повышения устойчивости третьих стран, в частности стран по расширению и соседних партнеров, к борьбе с гибридными, кибернетическими, климатическими угрозами и угрозами </w:t>
            </w:r>
            <w:r>
              <w:rPr>
                <w:sz w:val="24"/>
              </w:rPr>
              <w:t>FIMI</w:t>
            </w:r>
            <w:r w:rsidRPr="00F90960">
              <w:rPr>
                <w:sz w:val="24"/>
                <w:lang w:val="ru-RU"/>
              </w:rPr>
              <w:t>.</w:t>
            </w:r>
          </w:p>
        </w:tc>
        <w:tc>
          <w:tcPr>
            <w:tcW w:w="1525" w:type="dxa"/>
          </w:tcPr>
          <w:p w14:paraId="5E47C55B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0C367D" w14:paraId="073A617A" w14:textId="77777777">
        <w:trPr>
          <w:trHeight w:val="1499"/>
        </w:trPr>
        <w:tc>
          <w:tcPr>
            <w:tcW w:w="511" w:type="dxa"/>
          </w:tcPr>
          <w:p w14:paraId="626DE64A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6325" w:type="dxa"/>
          </w:tcPr>
          <w:p w14:paraId="2D289CD9" w14:textId="77777777" w:rsidR="000C367D" w:rsidRPr="00F90960" w:rsidRDefault="009D5104">
            <w:pPr>
              <w:pStyle w:val="TableParagraph"/>
              <w:spacing w:before="1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Разработать комплексный подход к нестабильности</w:t>
            </w:r>
            <w:r w:rsidRPr="00F90960">
              <w:rPr>
                <w:sz w:val="24"/>
                <w:lang w:val="ru-RU"/>
              </w:rPr>
              <w:t>, гарантируя, что гуманитарная политика, политика в области развития, мира и другие политики работают вместе, чтобы реагировать на потребности наиболее уязвимых слоев населения и лучше увязывать срочную помощь и долгосрочные решения в соответствии с Комплексным подходом ЕС к конфликтам и кризисам.</w:t>
            </w:r>
          </w:p>
        </w:tc>
        <w:tc>
          <w:tcPr>
            <w:tcW w:w="1525" w:type="dxa"/>
          </w:tcPr>
          <w:p w14:paraId="0A15F3E5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035DA417" w14:textId="77777777">
        <w:trPr>
          <w:trHeight w:val="1502"/>
        </w:trPr>
        <w:tc>
          <w:tcPr>
            <w:tcW w:w="511" w:type="dxa"/>
          </w:tcPr>
          <w:p w14:paraId="65BA2B28" w14:textId="77777777" w:rsidR="000C367D" w:rsidRDefault="009D5104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61.</w:t>
            </w:r>
          </w:p>
        </w:tc>
        <w:tc>
          <w:tcPr>
            <w:tcW w:w="6325" w:type="dxa"/>
          </w:tcPr>
          <w:p w14:paraId="32169352" w14:textId="77777777" w:rsidR="000C367D" w:rsidRPr="00F90960" w:rsidRDefault="009D5104">
            <w:pPr>
              <w:pStyle w:val="TableParagraph"/>
              <w:spacing w:before="1"/>
              <w:ind w:right="162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 xml:space="preserve">Укреплять «ресурсную дипломатию» </w:t>
            </w:r>
            <w:r w:rsidRPr="00F90960">
              <w:rPr>
                <w:sz w:val="24"/>
                <w:lang w:val="ru-RU"/>
              </w:rPr>
              <w:t>в отношении стратегических потребностей ЕС и разрабатывать совместные стратегии с партнерами-единомышленниками для диверсификации поставок критически важных активов, необходимых для обеспечения стратегической автономии и взаимности ЕС и стран-партнеров.</w:t>
            </w:r>
          </w:p>
          <w:p w14:paraId="271E78F2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упругость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25" w:type="dxa"/>
          </w:tcPr>
          <w:p w14:paraId="5712B2AE" w14:textId="77777777" w:rsidR="000C367D" w:rsidRDefault="009D51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0C367D" w14:paraId="28F53DAB" w14:textId="77777777">
        <w:trPr>
          <w:trHeight w:val="551"/>
        </w:trPr>
        <w:tc>
          <w:tcPr>
            <w:tcW w:w="511" w:type="dxa"/>
          </w:tcPr>
          <w:p w14:paraId="3A6CC8E4" w14:textId="77777777" w:rsidR="000C367D" w:rsidRDefault="009D5104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6325" w:type="dxa"/>
          </w:tcPr>
          <w:p w14:paraId="7A63B80E" w14:textId="77777777" w:rsidR="000C367D" w:rsidRPr="00F90960" w:rsidRDefault="009D5104">
            <w:pPr>
              <w:pStyle w:val="TableParagraph"/>
              <w:spacing w:line="276" w:lineRule="exact"/>
              <w:ind w:right="196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Укреплять сотрудничество со стратегическими партнерами в области безопасности в области здравоохранения</w:t>
            </w:r>
            <w:r w:rsidRPr="00F90960">
              <w:rPr>
                <w:sz w:val="24"/>
                <w:lang w:val="ru-RU"/>
              </w:rPr>
              <w:t>, в том числе в области обеспечения готовности к пандемии в рамках инициативы "Единое здоровье" (например,</w:t>
            </w:r>
          </w:p>
        </w:tc>
        <w:tc>
          <w:tcPr>
            <w:tcW w:w="1525" w:type="dxa"/>
          </w:tcPr>
          <w:p w14:paraId="5E98DA22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 w14:paraId="634B9180" w14:textId="77777777" w:rsidR="000C367D" w:rsidRDefault="000C367D">
      <w:pPr>
        <w:pStyle w:val="TableParagraph"/>
        <w:spacing w:line="275" w:lineRule="exact"/>
        <w:rPr>
          <w:sz w:val="24"/>
        </w:rPr>
        <w:sectPr w:rsidR="000C367D">
          <w:type w:val="continuous"/>
          <w:pgSz w:w="11910" w:h="16840"/>
          <w:pgMar w:top="1400" w:right="566" w:bottom="1816" w:left="425" w:header="0" w:footer="739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325"/>
        <w:gridCol w:w="1525"/>
      </w:tblGrid>
      <w:tr w:rsidR="000C367D" w:rsidRPr="00F90960" w14:paraId="01014E90" w14:textId="77777777">
        <w:trPr>
          <w:trHeight w:val="672"/>
        </w:trPr>
        <w:tc>
          <w:tcPr>
            <w:tcW w:w="511" w:type="dxa"/>
          </w:tcPr>
          <w:p w14:paraId="6519C72C" w14:textId="77777777" w:rsidR="000C367D" w:rsidRDefault="000C367D">
            <w:pPr>
              <w:pStyle w:val="TableParagraph"/>
              <w:ind w:left="0"/>
            </w:pPr>
          </w:p>
        </w:tc>
        <w:tc>
          <w:tcPr>
            <w:tcW w:w="6325" w:type="dxa"/>
          </w:tcPr>
          <w:p w14:paraId="28FABD80" w14:textId="77777777" w:rsidR="000C367D" w:rsidRPr="00F90960" w:rsidRDefault="009D5104">
            <w:pPr>
              <w:pStyle w:val="TableParagraph"/>
              <w:ind w:right="217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>совместные проекты, обучение, информация для делегаций ЕС) в соответствии с Глобальной стратегией ЕС в области здравоохранения.</w:t>
            </w:r>
          </w:p>
        </w:tc>
        <w:tc>
          <w:tcPr>
            <w:tcW w:w="1525" w:type="dxa"/>
          </w:tcPr>
          <w:p w14:paraId="36449B29" w14:textId="77777777" w:rsidR="000C367D" w:rsidRPr="00F90960" w:rsidRDefault="000C367D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C367D" w14:paraId="0E10AA0C" w14:textId="77777777">
        <w:trPr>
          <w:trHeight w:val="1223"/>
        </w:trPr>
        <w:tc>
          <w:tcPr>
            <w:tcW w:w="511" w:type="dxa"/>
          </w:tcPr>
          <w:p w14:paraId="2A2F958C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6325" w:type="dxa"/>
          </w:tcPr>
          <w:p w14:paraId="7E88EE47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b/>
                <w:sz w:val="24"/>
                <w:lang w:val="ru-RU"/>
              </w:rPr>
              <w:t>Обеспечение готовности к внешним инвестициям ЕС</w:t>
            </w:r>
            <w:r w:rsidRPr="00F90960">
              <w:rPr>
                <w:sz w:val="24"/>
                <w:lang w:val="ru-RU"/>
              </w:rPr>
              <w:t>, в том числе путем расширения масштабов реализации мер по адаптации к изменению климата и</w:t>
            </w:r>
          </w:p>
          <w:p w14:paraId="662A1E00" w14:textId="77777777" w:rsidR="000C367D" w:rsidRPr="00F90960" w:rsidRDefault="009D5104">
            <w:pPr>
              <w:pStyle w:val="TableParagraph"/>
              <w:rPr>
                <w:sz w:val="24"/>
                <w:lang w:val="ru-RU"/>
              </w:rPr>
            </w:pPr>
            <w:r w:rsidRPr="00F90960">
              <w:rPr>
                <w:sz w:val="24"/>
                <w:lang w:val="ru-RU"/>
              </w:rPr>
              <w:t xml:space="preserve">проекты по повышению устойчивости в странах-партнерах в рамках инициатив </w:t>
            </w:r>
            <w:r>
              <w:rPr>
                <w:sz w:val="24"/>
              </w:rPr>
              <w:t>Global</w:t>
            </w:r>
            <w:r w:rsidRPr="00F9096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Gateway</w:t>
            </w:r>
            <w:r w:rsidRPr="00F90960">
              <w:rPr>
                <w:sz w:val="24"/>
                <w:lang w:val="ru-RU"/>
              </w:rPr>
              <w:t xml:space="preserve"> и </w:t>
            </w:r>
            <w:r>
              <w:rPr>
                <w:sz w:val="24"/>
              </w:rPr>
              <w:t>Team</w:t>
            </w:r>
            <w:r w:rsidRPr="00F9096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Europe</w:t>
            </w:r>
          </w:p>
        </w:tc>
        <w:tc>
          <w:tcPr>
            <w:tcW w:w="1525" w:type="dxa"/>
          </w:tcPr>
          <w:p w14:paraId="78CDE680" w14:textId="77777777" w:rsidR="000C367D" w:rsidRDefault="009D51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 w14:paraId="3058576A" w14:textId="23A4681F" w:rsidR="009D5104" w:rsidRDefault="009D5104"/>
    <w:sectPr w:rsidR="009D5104">
      <w:type w:val="continuous"/>
      <w:pgSz w:w="11910" w:h="16840"/>
      <w:pgMar w:top="1400" w:right="566" w:bottom="920" w:left="425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3CB1" w14:textId="77777777" w:rsidR="00A4756B" w:rsidRDefault="00A4756B">
      <w:r>
        <w:separator/>
      </w:r>
    </w:p>
  </w:endnote>
  <w:endnote w:type="continuationSeparator" w:id="0">
    <w:p w14:paraId="72322FD5" w14:textId="77777777" w:rsidR="00A4756B" w:rsidRDefault="00A4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2C99" w14:textId="77777777" w:rsidR="000C367D" w:rsidRDefault="009D510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11520" behindDoc="1" locked="0" layoutInCell="1" allowOverlap="1" wp14:anchorId="3AECD118" wp14:editId="2A1E670D">
              <wp:simplePos x="0" y="0"/>
              <wp:positionH relativeFrom="page">
                <wp:posOffset>3710051</wp:posOffset>
              </wp:positionH>
              <wp:positionV relativeFrom="page">
                <wp:posOffset>10083551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435B0" w14:textId="77777777" w:rsidR="000C367D" w:rsidRDefault="009D510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CD1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15pt;margin-top:794pt;width:12pt;height:13.0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HDnDCPhAAAADQEA&#10;AA8AAAAAAAAAAAAAAAAA6wMAAGRycy9kb3ducmV2LnhtbFBLBQYAAAAABAAEAPMAAAD5BAAAAAA=&#10;" filled="f" stroked="f">
              <v:textbox inset="0,0,0,0">
                <w:txbxContent>
                  <w:p w14:paraId="6B6435B0" w14:textId="77777777" w:rsidR="000C367D" w:rsidRDefault="009D510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7B33" w14:textId="77777777" w:rsidR="00A4756B" w:rsidRDefault="00A4756B">
      <w:r>
        <w:separator/>
      </w:r>
    </w:p>
  </w:footnote>
  <w:footnote w:type="continuationSeparator" w:id="0">
    <w:p w14:paraId="1311A99F" w14:textId="77777777" w:rsidR="00A4756B" w:rsidRDefault="00A47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7D"/>
    <w:rsid w:val="000C367D"/>
    <w:rsid w:val="003F6DC8"/>
    <w:rsid w:val="009D5104"/>
    <w:rsid w:val="00A4756B"/>
    <w:rsid w:val="00E27762"/>
    <w:rsid w:val="00F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DCCD"/>
  <w15:docId w15:val="{F3D08982-B127-4710-BB66-FCBCBD50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0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41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Placeholder Text"/>
    <w:basedOn w:val="a0"/>
    <w:uiPriority w:val="99"/>
    <w:semiHidden/>
    <w:rsid w:val="00F909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1877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Шенбергер</dc:creator>
  <cp:lastModifiedBy>Igor Shenberger</cp:lastModifiedBy>
  <cp:revision>2</cp:revision>
  <dcterms:created xsi:type="dcterms:W3CDTF">2025-03-27T04:39:00Z</dcterms:created>
  <dcterms:modified xsi:type="dcterms:W3CDTF">2025-03-27T04:41:00Z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2025-03-27T00:00:00Z</vt:filetime>
  </property>
  <property fmtid="{D5CDD505-2E9C-101B-9397-08002B2CF9AE}" pid="4" name="MSIP_Label_6bd9ddd1-4d20-43f6-abfa-fc3c07406f94_ActionId">
    <vt:lpwstr>a3efa9b7-f4a5-4558-a8fd-410f9ba18dac</vt:lpwstr>
  </property>
  <property fmtid="{D5CDD505-2E9C-101B-9397-08002B2CF9AE}" pid="5" name="MSIP_Label_6bd9ddd1-4d20-43f6-abfa-fc3c07406f94_ContentBits">
    <vt:lpwstr>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etDate">
    <vt:lpwstr>2025-03-23T13:16:49Z</vt:lpwstr>
  </property>
  <property fmtid="{D5CDD505-2E9C-101B-9397-08002B2CF9AE}" pid="10" name="MSIP_Label_6bd9ddd1-4d20-43f6-abfa-fc3c07406f94_SiteId">
    <vt:lpwstr>b24c8b06-522c-46fe-9080-70926f8dddb1</vt:lpwstr>
  </property>
</Properties>
</file>