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Программа “Ноль отходов” Социально-экологического Союза 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Helvetica Neue" w:cs="Helvetica Neue" w:eastAsia="Helvetica Neue" w:hAnsi="Helvetica Neue"/>
          <w:i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4"/>
          <w:szCs w:val="24"/>
          <w:rtl w:val="0"/>
        </w:rPr>
        <w:t xml:space="preserve">Постановка проблемы</w:t>
      </w:r>
    </w:p>
    <w:p w:rsidR="00000000" w:rsidDel="00000000" w:rsidP="00000000" w:rsidRDefault="00000000" w:rsidRPr="00000000" w14:paraId="00000003">
      <w:pPr>
        <w:spacing w:before="240" w:lineRule="auto"/>
        <w:ind w:firstLine="72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Отмечая положительные изменения, достигнутые в рамках “мусорной” реформы, включая: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Закрытие и рекультивацию части свалок ТКО,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Повышение доступности раздельного накопления отходов для жителей крупных городов,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Реформирование системы Расширенной ответственности производителей и импортеров товаров и упаковки (РОП),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Планы цифровизации отрасли обращения с отходами </w:t>
      </w:r>
    </w:p>
    <w:p w:rsidR="00000000" w:rsidDel="00000000" w:rsidP="00000000" w:rsidRDefault="00000000" w:rsidRPr="00000000" w14:paraId="00000008">
      <w:pPr>
        <w:spacing w:after="240" w:before="240" w:lineRule="auto"/>
        <w:ind w:left="0" w:firstLine="72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Программа обращает внимание на наличие следующих проблем “мусорной” реформы, требующие внимания: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В национальном проекте “Экологическое благополучие” и федеральном проекте “Экономика замкнутого цикла” отсутствуют целевые показатели с нарастающей динамикой по годам по максимальному использованию сырья, предотвращению образования отходов и реализации иных приоритетных направлений госполитики.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В частности: </w:t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Недостаточная инфраструктура для раздельного накопления отходов (РНО)</w:t>
      </w:r>
    </w:p>
    <w:p w:rsidR="00000000" w:rsidDel="00000000" w:rsidP="00000000" w:rsidRDefault="00000000" w:rsidRPr="00000000" w14:paraId="0000000B">
      <w:pPr>
        <w:numPr>
          <w:ilvl w:val="2"/>
          <w:numId w:val="5"/>
        </w:numPr>
        <w:spacing w:after="0" w:afterAutospacing="0" w:before="0" w:beforeAutospacing="0" w:lineRule="auto"/>
        <w:ind w:left="216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Отсутствуют целевые показатели внедрения РНО по фракциям в нацпроекте и региональных территориальных схемах обращения с отходами (ТСОО). Это препятствует реализации приоритетных направлений госполитики в области обращения с отходами, предусмотренной ФЗ № 89-ФЗ.</w:t>
      </w:r>
    </w:p>
    <w:p w:rsidR="00000000" w:rsidDel="00000000" w:rsidP="00000000" w:rsidRDefault="00000000" w:rsidRPr="00000000" w14:paraId="0000000C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Низкие темпы создания мощностей по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материальной утилизации</w:t>
      </w:r>
    </w:p>
    <w:p w:rsidR="00000000" w:rsidDel="00000000" w:rsidP="00000000" w:rsidRDefault="00000000" w:rsidRPr="00000000" w14:paraId="0000000D">
      <w:pPr>
        <w:numPr>
          <w:ilvl w:val="2"/>
          <w:numId w:val="5"/>
        </w:numPr>
        <w:spacing w:after="0" w:afterAutospacing="0" w:before="0" w:beforeAutospacing="0" w:lineRule="auto"/>
        <w:ind w:left="216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Нет це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левых показателей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в нацпроекте по переработке раздельно накопленных фракций.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Отсутствие в населенных пунктах инфраструктуры для переработки органических отходов в удобрения.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Нарушения при размещении объектов обращения с отходами</w:t>
      </w:r>
    </w:p>
    <w:p w:rsidR="00000000" w:rsidDel="00000000" w:rsidP="00000000" w:rsidRDefault="00000000" w:rsidRPr="00000000" w14:paraId="00000010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Многие объекты не соответствуют экологическим нормам. При проектировании новых объектов игнорируются мнения граждан и требования природоохранного законодательства и обеспечения санитарно-эпидемиологического благополучия.  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Реализация наименее приоритетных направлений госполитики в области обращения с отходами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Федеральная схема обращения с отходами акцентирует внимание на сортировке смешанных ТКО для производства RDF-топлива для последующего сжигания и загрязненного техногрунта, который направляются на захоронение.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Низкое качество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highlight w:val="white"/>
          <w:rtl w:val="0"/>
        </w:rPr>
        <w:t xml:space="preserve">предоставляемых региональными операторами услуг в отдельных регионах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Необоснованность норм накопления, что приводит к завышению тарифов и платы для населения. </w:t>
      </w:r>
    </w:p>
    <w:p w:rsidR="00000000" w:rsidDel="00000000" w:rsidP="00000000" w:rsidRDefault="00000000" w:rsidRPr="00000000" w14:paraId="00000015">
      <w:pPr>
        <w:numPr>
          <w:ilvl w:val="1"/>
          <w:numId w:val="5"/>
        </w:numPr>
        <w:spacing w:after="240" w:before="0" w:beforeAutospacing="0" w:lineRule="auto"/>
        <w:ind w:left="144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Отсутствие эффективных инструментов контроля за деятельностью регоператоров.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Цели и задачи Программы “Ноль отходов” 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4"/>
          <w:szCs w:val="24"/>
          <w:rtl w:val="0"/>
        </w:rPr>
        <w:t xml:space="preserve">Цель: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Создание условий для перехода России к экономике замкнутого цикла.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Helvetica Neue" w:cs="Helvetica Neue" w:eastAsia="Helvetica Neue" w:hAnsi="Helvetica Neue"/>
          <w:i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24"/>
          <w:szCs w:val="24"/>
          <w:rtl w:val="0"/>
        </w:rPr>
        <w:t xml:space="preserve">Задачи: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Содействовать развитию производств с замкнутым циклом.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Содействовать деятельности органов власти, бизнеса, НКО и активистов, разделяющих цели программы.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Содействовать мерам по предотвращению образования отходов, увеличению сроков службы товаров.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Содействовать развитию технологий и предприятий, соответствующих высшим приоритетам госполитики.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Распространять знания о негативных последствиях RDF-топлива и термической утилизации.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Участвовать в разработке Глобального договора по борьбе с пластиковым загрязнением.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Содействовать развитию инфраструктуры раздельного накопления, включая пищевые отходы.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Содействовать развитию программы предотвращения загрязнения полимерами.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Содействовать развитию общенациональной системы залоговой тары.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before="0" w:beforeAutospacing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Содействовать развитию программ экопросвещения по устойчивым способам обращения с ТКО.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240" w:before="240" w:lineRule="auto"/>
        <w:ind w:left="720" w:firstLine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Механизмы реализации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Проведение аналитических исследований и разработка рекомендаций.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Организация дискуссионных площадок (форумов, конференций, круглых столов).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Информирование представителей власти, бизнеса и граждан.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Содействие взаимодействию активистов и предприятий.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Развитие сети контактов для реализации целей программы.</w:t>
      </w:r>
    </w:p>
    <w:p w:rsidR="00000000" w:rsidDel="00000000" w:rsidP="00000000" w:rsidRDefault="00000000" w:rsidRPr="00000000" w14:paraId="0000002C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План работы на год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Анализ реализации мусорной реформы в субъектах РФ.</w:t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Обучающие вебинары для активистов.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Исследование пластикового загрязнения побережий.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Разработка предложений по улучшению ТСОО и ФСОО.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Подготовка аналитических материалов на основе мирового опыта в области обращения с отходами</w:t>
      </w:r>
    </w:p>
    <w:p w:rsidR="00000000" w:rsidDel="00000000" w:rsidP="00000000" w:rsidRDefault="00000000" w:rsidRPr="00000000" w14:paraId="00000033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Стратегический план на три года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Мониторинг и анализ законодательных изменений.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Разработка предложений в национальные проекты и законопроекты.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Проведение исследований пластикового загрязнения побережий России и поддержка волонтеров сообществ.</w:t>
      </w:r>
    </w:p>
    <w:p w:rsidR="00000000" w:rsidDel="00000000" w:rsidP="00000000" w:rsidRDefault="00000000" w:rsidRPr="00000000" w14:paraId="00000038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Ресурсы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Собственные средства участников.</w:t>
      </w:r>
    </w:p>
    <w:p w:rsidR="00000000" w:rsidDel="00000000" w:rsidP="00000000" w:rsidRDefault="00000000" w:rsidRPr="00000000" w14:paraId="0000003A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Исполнители и партнеры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Анастасия Коченева (Архангельск); 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Дмитрий Нестеров (Санкт-Петербург).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