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BB" w:rsidRPr="00586F5C" w:rsidRDefault="008723BB" w:rsidP="00CE6D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86F5C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РЕЗОЛЮЦИЯ</w:t>
      </w:r>
      <w:r w:rsidRPr="00586F5C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br/>
        <w:t>конференции «Волго-Ахтубинская пойма:</w:t>
      </w:r>
      <w:r w:rsidRPr="00586F5C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br/>
        <w:t>проекты и прогнозы экологического оздоровления»</w:t>
      </w:r>
    </w:p>
    <w:p w:rsidR="008723BB" w:rsidRPr="00BF16EF" w:rsidRDefault="008723BB" w:rsidP="00CE6D04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8723BB" w:rsidRPr="00BF16EF" w:rsidRDefault="008723BB" w:rsidP="00CE6D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Принята 05 октября 2021 года г.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Волгоград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Организаторы:</w:t>
      </w: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br/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* Волгоградский региональный экологический центр (ВРЭЦ),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* Водная программа Российского Социально-экологического Союза (РСОэС),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* Рабочая группа «Охрана окружающей среды» Общественного совета при Минприроды России,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br/>
        <w:t>* Комиссия по общественной оценке нормативно-правовых актов, качества государственных услуг, антикоррупционной и кадровой работы Общественного совета при Минприроды России,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*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Волгоградская областная общественн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ая организация «Клуб «ЭКОЛОГИЯ».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Участники:</w:t>
      </w: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br/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представители социально ориентированных экологических НКО, учёные и практики экологической сферы деятельности, заинтересованные граждане.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На конференцию были приглашены представители органов власти Волгоградской области и города Волгограда.</w:t>
      </w:r>
    </w:p>
    <w:p w:rsidR="008723BB" w:rsidRPr="00540EEE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Цель конференции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– информирование широкого круга организаций и граждан о ситуации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Волго-Ахтубинской пойме, о продвигаемых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для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этой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территории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проектах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представляющих, по мнению экологической общественности, опасность уничтожения Волго-Ахтубинской поймы, и о мерах экологической общественности по предотвращению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этой опасности.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</w:p>
    <w:p w:rsidR="008723BB" w:rsidRPr="00586F5C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86F5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                                          Обсуждены проекты:</w:t>
      </w:r>
    </w:p>
    <w:p w:rsidR="008723BB" w:rsidRDefault="008723BB" w:rsidP="005D0143">
      <w:pPr>
        <w:jc w:val="both"/>
      </w:pPr>
      <w:r>
        <w:t>1.«Комплекс гидротехнических сооружений, обеспечивающий дополнительное обводнение Волго-Ахтубинской поймы». Госзаказчик – Облкомприроды Волгоградской области, исполнитель – АО «Проектно-изыскательский и научно-исследовательский институт «Гидропроект» имени  С.Я.Жука,  госконтракт  № 1575/19 от 25.06.2019г.</w:t>
      </w:r>
    </w:p>
    <w:p w:rsidR="008723BB" w:rsidRDefault="008723BB" w:rsidP="00586F5C">
      <w:pPr>
        <w:jc w:val="both"/>
      </w:pPr>
      <w:r w:rsidRPr="005D0143">
        <w:t>2</w:t>
      </w:r>
      <w:r>
        <w:t>.«Строительство второго, третьего и четвертого пусковых комплексов мостового перехода через реку Волга в городе Волгограде. Третий пусковой комплекс. 1 этап» . Госзаказчик – Комитет транспорта и дорожного хозяйства Волгоградской области, исполнитель – АО «ГК «ЕКС» (генеральный подрядчик), госконтракт № 335-20 от 28.10.2020г.</w:t>
      </w:r>
    </w:p>
    <w:p w:rsidR="008723BB" w:rsidRDefault="008723BB" w:rsidP="00586F5C">
      <w:pPr>
        <w:jc w:val="both"/>
      </w:pPr>
    </w:p>
    <w:p w:rsidR="008723BB" w:rsidRPr="00586F5C" w:rsidRDefault="008723BB" w:rsidP="00586F5C">
      <w:pPr>
        <w:jc w:val="both"/>
      </w:pPr>
      <w:r w:rsidRPr="00586F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eastAsia="ru-RU"/>
        </w:rPr>
        <w:t>Участники конференции считают необходимым отметить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: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Природоохранная значимость Волго-Ахтубинской поймы обусловлена, прежде всего, её климаторегулирующей и средообразующей ролью, высоким биологическим и ландшафтным разнообразием, наличием большого числа разнообразных водоёмов, образующих уникальный гидрорежим территории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и других ценных природных комплексов.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Высокую  международную и национальную значимость  Волго-Ахтубинской поймы  аргу-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ментированно подтвердил  выступивший на конференции академик РАН, вице-президент 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Русского Географического Общества А.А.Чибилёв в докладе «Уникальная ценность природного   комплекса Волго-Ахтубинская  пойма».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2.</w:t>
      </w:r>
    </w:p>
    <w:p w:rsidR="008723BB" w:rsidRPr="009B5510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8723BB" w:rsidRPr="00CE6D04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Нижняя Волга, в том числе пойменная часть Волгоградской области, является ключевой орнитологической территорией международного значения и имеет международную ценность как водный объект Рамсарской конвенции; кроме того, Волго-Ахтубинская пойма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(далее - ВАП) – 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южная граница произрастания дуба черешчатого, чудом сохранившегося здесь в виде уникальных дубрав ещё со времён «свободного» течения двух рек, до создания Волжско-Камского каскада ГЭС.</w:t>
      </w:r>
    </w:p>
    <w:p w:rsidR="008723BB" w:rsidRPr="009B5510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8723BB" w:rsidRPr="009B5510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Северная часть поймы испытывает сильное негативное влияние промышленных предприятий Волгограда, Волжского и Волжской ГЭС, хотя на значительных площадях природные ландшафты ещё сохраняют свои естественные свойства.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br/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После строительства вододелителя в Астраханской области западная часть поймы Волги утратила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одну из основных своих функций</w:t>
      </w:r>
      <w:r w:rsidRPr="00540EEE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–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резервного вместилища для речных вод, переполняющих русло реки в период весеннего половодья. А отсутствие полноценных паводков из-за попусков плотины ГЭС привело к утрате ещё одной важнейшей функции поймы и дельты Волги – исчезают места, благоприятные для нереста ценных пород рыбы. 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8723BB" w:rsidRPr="00CE6D04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Многочисленные техногенные формы рельефа, в т.ч. неучтённые и незаконные (песчаные карьеры, плотины и дамбы рыбоводных прудов, насыпи дорог)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коренным образом ухудшают водоснабжение поймы и дельты Волги.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Вс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ё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это приводит к деградации средообразующих функций основных структурных</w:t>
      </w:r>
      <w:r w:rsidRPr="00BF16EF">
        <w:rPr>
          <w:rFonts w:ascii="Times New Roman" w:hAnsi="Times New Roman"/>
          <w:color w:val="333333"/>
          <w:sz w:val="24"/>
          <w:szCs w:val="24"/>
          <w:shd w:val="clear" w:color="auto" w:fill="FFFF00"/>
          <w:lang w:eastAsia="ru-RU"/>
        </w:rPr>
        <w:t xml:space="preserve"> 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элементов 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к 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снижению её экологической устойчивости.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8723BB" w:rsidRPr="005D0143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Суть рассмотренных проектов масштабного преобразования и хозяйственного освоения поймы сводится 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к постройке для удержания воды в р. Ахтубе комплекса плотин,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неизвестного количества дамб и сети лиманов, а также строительству дороги, ведущему к уничтожению уникальных старовозрастных 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ойменных дубрав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Проект «Строительство второго, третьего и четвёртого пусковых комплексов мостового перехода через реку Волга в городе Волгограде. Третий пусковой комплекс – 1 этап» не обеспечивает сохранение экологического баланса и биоразнообразия уникального природно-территориального комплекса, не соответствует его биосферной значимости и статусу как биосферного резервата ЮНЕСКО международного значения.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E6D0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Проекты по строительству обоих этапов разработаны с грубейшими нарушениями действующего законодательства, в результате чего, в частности, проигнорирован сравнительно безопасный для сохранения поймы вариант расширения на 2 полосы уже существующей трассы, не показаны и не оценивались последствия нанес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ённого вреда ООПТ. О разрешении / </w:t>
      </w:r>
      <w:r w:rsidRPr="00CE6D0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согласовании на строительство этой трассы международного значения федеральные органы исполнительной власти не запрашивались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 Есть</w:t>
      </w:r>
      <w:r w:rsidRPr="00CE6D0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ряд других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нарушений.</w:t>
      </w:r>
      <w:r w:rsidRPr="00CE6D0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 совокупности нарушений</w:t>
      </w:r>
      <w:r w:rsidRPr="00CE6D0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 реализацию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проекта </w:t>
      </w:r>
      <w:r w:rsidRPr="00CE6D0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поступил протест прокурора Волгоградской межрайонной природоохранной прокуратуры, не исполненный в полной мере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E6D0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 сих пор.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E6D0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Реализация данного проекта не только противоречит природоохранным и экологическим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целям особо охраняемой природной территории (ООПТ), но также приведёт к системному нарушению законодательства России, в частности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Лесного, Земельного и Градостроительного Кодексов России, федеральных законов «Об охране окружающей природной среды», «Об особо охраняемых природных территориях», «О животном мире» и др.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3.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Реализация каждого из этих проектов, но </w:t>
      </w:r>
      <w:r w:rsidRPr="0001130A">
        <w:rPr>
          <w:rFonts w:ascii="Times New Roman" w:hAnsi="Times New Roman"/>
          <w:b/>
          <w:color w:val="333333"/>
          <w:sz w:val="24"/>
          <w:szCs w:val="24"/>
          <w:lang w:eastAsia="ru-RU"/>
        </w:rPr>
        <w:t>особенно в их совокупности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, приведёт к утрате поймой своего уникального природного статуса, что прямо противоречит государственной природоохран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ой политике, целям и задачам национального проекта «Экология», взятым на себя Российской Федерацией обязательствам по сохранению природных резерватов ЮНЕСКО, в состав которых включён при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р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одный парк «Волго-Ахтубинская пойма».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Федеральные и областные государственные правоохранительные и природоохранные органы не принимают предусмотренных законодательством мер по прекращению незаконного строительства, несмотря на многочисленные обращения граждан и общественных объединений.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Учитывая изложенное, участники конференции поддержали выводы общественной экологической экспертизы по 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проекту дополнительного обводнения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АП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, признавшей его реализацию недопустим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ой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, нарушающ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ей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действующее законодательство и прямо противоречащ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ей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целям и задачам национального проекта «Экология», в рамках которого предполагается выделение федеральных средств на его разработку и выполнение (приложение 1) и считают необходим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ой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незамедлительную остановку строительства трассы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Волго-Ахтубинской пойме.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723BB" w:rsidRPr="009F7F5F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В этих целях </w:t>
      </w:r>
      <w:r w:rsidRPr="009F7F5F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конференция считает необходимым: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8723BB" w:rsidRDefault="008723BB" w:rsidP="00DE02A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Рекомендовать органам власти и природоохранным структурам федерального и </w:t>
      </w:r>
    </w:p>
    <w:p w:rsidR="008723BB" w:rsidRDefault="008723BB" w:rsidP="00DE02A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регионального уровня  достойно оценить значимость Волго-Ахтубинской поймы </w:t>
      </w:r>
    </w:p>
    <w:p w:rsidR="008723BB" w:rsidRDefault="008723BB" w:rsidP="00DE02A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и принять предусмотренные законодательством меры по прекращению незаконно-</w:t>
      </w:r>
    </w:p>
    <w:p w:rsidR="008723BB" w:rsidRDefault="008723BB" w:rsidP="00DE02A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го строительства  и  других  действий  по  наращиванию  хозяйственного  освоения </w:t>
      </w:r>
    </w:p>
    <w:p w:rsidR="008723BB" w:rsidRDefault="008723BB" w:rsidP="00DE02A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поймы. </w:t>
      </w:r>
    </w:p>
    <w:p w:rsidR="008723BB" w:rsidRDefault="008723BB" w:rsidP="00DE02A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8723BB" w:rsidRPr="00DE02A9" w:rsidRDefault="008723BB" w:rsidP="00DE02A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02DF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Просить Президента России дать поручение Правительству России исключить проект дополнительного обводнения Волго-Ахтубинской поймы из состава мероприятий национальн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о</w:t>
      </w:r>
      <w:r w:rsidRPr="00A902DF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го проекта «Экология» как ведущий к ухудшению состояния ценнейших природных экосистем и, тем самым,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A902DF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прямо противоположн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ый</w:t>
      </w:r>
      <w:r w:rsidRPr="00A902DF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целям, смыслу и содержанию национального проекта «Экология».</w:t>
      </w:r>
    </w:p>
    <w:p w:rsidR="008723BB" w:rsidRPr="00A902DF" w:rsidRDefault="008723BB" w:rsidP="00DE02A9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23BB" w:rsidRDefault="008723BB" w:rsidP="00DE02A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Просить </w:t>
      </w:r>
      <w:r w:rsidRPr="00BF16EF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РСоЭС и его Водную программу организовать просветительскую кампа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- </w:t>
      </w:r>
    </w:p>
    <w:p w:rsidR="008723BB" w:rsidRDefault="008723BB" w:rsidP="00DE02A9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BF16EF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нию о ценностях Волго-Ахтубинской поймы и в защиту поймы совместно с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Вол-</w:t>
      </w:r>
    </w:p>
    <w:p w:rsidR="008723BB" w:rsidRDefault="008723BB" w:rsidP="00DE02A9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го</w:t>
      </w:r>
      <w:r w:rsidRPr="00BF16EF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градскими организациями. Оргкомитету конференции создать в этих целях </w:t>
      </w:r>
    </w:p>
    <w:p w:rsidR="008723BB" w:rsidRDefault="008723BB" w:rsidP="00DE02A9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</w:t>
      </w:r>
      <w:r w:rsidRPr="00BF16EF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рабочую группу.</w:t>
      </w:r>
    </w:p>
    <w:p w:rsidR="008723BB" w:rsidRPr="00A902DF" w:rsidRDefault="008723BB" w:rsidP="00DE02A9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23BB" w:rsidRPr="009F7F5F" w:rsidRDefault="008723BB" w:rsidP="00DE02A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Просить 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Совет при Президенте России по развитию гражданского общества и правам человека и Общественную палату РФ, в связи с нарастанием конфликтной ситуации между гражданами и органами власти из-за строительства дороги, которая может привести к массовым протестам, в результате чего могут пострадать люди,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–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о всестороннем обсуждении альтернативных вариантов строительства дороги. До проведения данного обсуждения остановить все работы по строительству.</w:t>
      </w:r>
    </w:p>
    <w:p w:rsidR="008723BB" w:rsidRDefault="008723BB" w:rsidP="009F7F5F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8723BB" w:rsidRDefault="008723BB" w:rsidP="009F7F5F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8723BB" w:rsidRPr="00DE02A9" w:rsidRDefault="008723BB" w:rsidP="009F7F5F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4.</w:t>
      </w:r>
    </w:p>
    <w:p w:rsidR="008723BB" w:rsidRPr="00A902DF" w:rsidRDefault="008723BB" w:rsidP="00DE02A9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23BB" w:rsidRPr="00DE02A9" w:rsidRDefault="008723BB" w:rsidP="00CE6D0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Поручить </w:t>
      </w:r>
      <w:r w:rsidRPr="00BF16EF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оргкомитету конфере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н</w:t>
      </w:r>
      <w:r w:rsidRPr="00BF16EF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ции организовать встречу с администрациями ООПТ Нижней Волги по вопросам орг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а</w:t>
      </w:r>
      <w:r w:rsidRPr="00BF16EF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низации массовой просветительской работы на территории Нижней Волги.</w:t>
      </w:r>
    </w:p>
    <w:p w:rsidR="008723BB" w:rsidRPr="00A902DF" w:rsidRDefault="008723BB" w:rsidP="00DE02A9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23BB" w:rsidRPr="00DE02A9" w:rsidRDefault="008723BB" w:rsidP="00CE6D0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Обратиться в суд с требованием запрета строительства дороги как осуществляемой с нарушением законодательства и причиняющей вред окружающей природной среде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с возмещением нанесённого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пойме 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ущерба.</w:t>
      </w:r>
    </w:p>
    <w:p w:rsidR="008723BB" w:rsidRPr="00A902DF" w:rsidRDefault="008723BB" w:rsidP="00DE02A9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23BB" w:rsidRPr="00DE02A9" w:rsidRDefault="008723BB" w:rsidP="00CE6D0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Рекомендовать представителям научного сообщества, участвующим в конференции, провести и представить общественности независимое исследование трассы дороги (как 1, так и 2 этапа строительства) для выявления ценных объектов природы, в первую очередь объектов животного и растительного мира, занесённых в Красную книгу РФ и Волгоградской области.</w:t>
      </w:r>
    </w:p>
    <w:p w:rsidR="008723BB" w:rsidRPr="00A902DF" w:rsidRDefault="008723BB" w:rsidP="00DE02A9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23BB" w:rsidRPr="00DE02A9" w:rsidRDefault="008723BB" w:rsidP="00CE6D0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Предложить Минприроды России рассмотреть вопрос об отстранении от занимаемой должности директора заповедного департамента Минприроды РФ Макановой И.Ю. по коррупционным основаниям (по сообщениям СМИ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CE6D04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являлась членом совета директоров компании «Иксфорс Лимитед»), отозвать разрешения по действиям строителей, наносящим ущерб природе ВАП, выданные Макановой И.Ю. и руководимым ею департаментом.</w:t>
      </w:r>
    </w:p>
    <w:p w:rsidR="008723BB" w:rsidRDefault="008723BB" w:rsidP="00DE02A9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23BB" w:rsidRDefault="008723BB" w:rsidP="00DE02A9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9.   Учитывая международную значимость территории ВАП, направить Резолюцию </w:t>
      </w:r>
    </w:p>
    <w:p w:rsidR="008723BB" w:rsidRDefault="008723BB" w:rsidP="00DE02A9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также Генеральному секретарю ЮНЕСКО.  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</w:pPr>
    </w:p>
    <w:p w:rsidR="008723BB" w:rsidRPr="00BF16EF" w:rsidRDefault="008723BB" w:rsidP="00CE6D0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  <w:t>Приложение 1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8723BB" w:rsidRPr="00BF16EF" w:rsidRDefault="008723BB" w:rsidP="00CE6D04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Основные выводы Общественной экологической экспертизы, выполненной</w:t>
      </w: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br/>
        <w:t>Национальной судебно-экспертной экологической палатой (Союз «Судэкоэксперт»)</w:t>
      </w: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br/>
        <w:t>п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о 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проекту дополнительного обводнения Волго-Ахтубинской поймы (далее - ВАП)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Комиссия Общественной экологической экспертизы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 установила следующее.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br/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1. Проект разработан с большим количеством нарушений действующих Законов, Правил и Инструкций, по целому ряду проектных решений нет достаточно убедительных обоснований. По тексту имеют место ошибочные оценки некоторых экологических явлений и противоречивые информационные данные.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Проект в целом выполнен небрежно, непрофессионально, в ряде мест – некомпетентно.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br/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2. Предложения Разработчика не решают 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не направлены на реальное улучшение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 условий существования уникальной экосистемы в верхней части ВАП как целевой задачи проекта по Техническому заданию, не отвечают целям, смыслу и содержанию национального проекта «Экология», в рамках которого предусмотрена его реализация. В Проекте нет чёткой позиции о сохранении ВАП, и никакими действиями и научными выкладками эта главная тема не подтверждена.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br/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                                                                5.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8723BB" w:rsidRDefault="008723BB" w:rsidP="00C70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3.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Не проведены исследования, позволяющие оценить ожидаемые изменения (в том числе негативные и кумулятивные) в средней и нижней частях поймы, да и вопрос о возможности таких изменений в гидрологическом режиме, экологическом состоянии природных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комплексов, сообществ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отдельн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ых   видов   флоры   и   фауны   Проектом </w:t>
      </w:r>
    </w:p>
    <w:p w:rsidR="008723BB" w:rsidRDefault="008723BB" w:rsidP="00C708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не упоминается.</w:t>
      </w:r>
    </w:p>
    <w:p w:rsidR="008723BB" w:rsidRDefault="008723BB" w:rsidP="00586D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При этом Проект не представлен и не рассмотрен на уровне заинтересованных Субъектов Российской Федерации – Астраханской области и Республики Калмыкия, и вообще все проектные предложения рассматриваются вне связи с функционированием единого Волжско-Камского каскада (ВКК) гидроэлектростанций, что нарушает правила использования водохранилищ и сам принцип бассейнового подхода к управлению водными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объектами.</w:t>
      </w:r>
    </w:p>
    <w:p w:rsidR="008723BB" w:rsidRDefault="008723BB" w:rsidP="00586D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br/>
        <w:t>4. Проработка вопросов влияния двух новых плотин на ихтиофауну Ахтубинского участка в Проекте полностью отсутствует. Задача обеспечения миграции рыб из ВАП в Волгоградское водохранилище не решается.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Под сомнением достижимость улучшения рыбохозяйственных условий, на что указывают рыбохозяйственные научные организации КаспНИРХ и ГосНИОРХ: «При осуществлении любого варианта предлагаемых мероприятий Волго-Ахтубинская пойма полностью потеряет своё рыбохозяйственное значение – и как поставщик биогенного стока в Северный Каспий, и как место размножения пойменно-речных и полупроходных рыб».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br/>
        <w:t>5. Не оценены гидрологические риски. Тезис об обеспечении проточности основных водотоков и пойменных озёр не поддержан конкретным содержанием, не опирается на гидродинамическую и </w:t>
      </w:r>
      <w:r w:rsidRPr="00BF16EF">
        <w:rPr>
          <w:rFonts w:ascii="Times New Roman" w:hAnsi="Times New Roman"/>
          <w:color w:val="0A0A0A"/>
          <w:sz w:val="24"/>
          <w:szCs w:val="24"/>
          <w:lang w:eastAsia="ru-RU"/>
        </w:rPr>
        <w:t>геофильтрационную модели обводнения ВАП. П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оэтому проект не будет выполнен в нужной мере, а если и будет сохранена проточность, то никак не соответствующая водному балансу в естественных условиях, поскольку нормы этого баланса авторам Проекта не известны. Следовательно, из-за неполноты данных легко можно с помощью строительства комплекса ГТС усугубить существующую ситуацию, которая и так далека от оптимальной.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6. Не предусмотрены водопропускные сооружения, обеспечивающие изоляцию вод канала от сточных вод, поступающих из Волжского в испарительный лиман. Зато за рамками настоящего проекта предполагается создание целой системы лиманов вдоль р. Ахтуба, которое не оценивается должным образом при принятии решения о столь масштабном инженерном преобразовании ценной природной экосистемы.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Отсутствуют расчёт затоплений и подтоплений населённых пунктов и дорог, описание изменений в конкретных пунктах. Нет раздела по оценке воздействия намечаемой деятельности на геологическую среду и подземные воды.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Вообще том ОВОС не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содержит документального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подтверждения </w:t>
      </w:r>
      <w:r w:rsidRPr="00BF16E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экологической безопасности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 предлагаемых технологий.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7. Не спроектирована система мониторинга, хотя Разработчик проекта утверждает: «Все рассматриваемые в проектной документации гидротехнические сооружения рассчитаны с учётом возможности оптимизации режима их эксплуатации по результатам мониторинга гидрологических характеристик подачи воды и изменений экологической ситуации в северной части поймы».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 именно система мониторинга с чётко выделенными индикаторами и доказанными взаимосвязями должна быть неотъемлемой частью данного проекта и рассматриваться в данной ОВОС. А так как она отсутствует – налицо безответственное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отношен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>ие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созданию </w:t>
      </w:r>
      <w:r w:rsidRPr="00BF16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сложной и опасной инженерной системы с плохо предсказуемыми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последствия-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6.</w:t>
      </w:r>
    </w:p>
    <w:p w:rsidR="008723BB" w:rsidRPr="00BF16EF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ми. 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D2D2D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8. Масштаб техногенного вмешательства и преобразования природных систем, предполагаемый в Проекте, несовместим со статусом ООПТ и со всей очевидностью противоречит режиму и регламенту природного парка «Волго-Ахтубинская пойма», утверждённому Постановлением администрации Волгоградской области от 22.07.2016 №389-п «</w:t>
      </w:r>
      <w:r w:rsidRPr="00BF16EF">
        <w:rPr>
          <w:rFonts w:ascii="Times New Roman" w:hAnsi="Times New Roman"/>
          <w:color w:val="3C3C3C"/>
          <w:sz w:val="24"/>
          <w:szCs w:val="24"/>
          <w:lang w:eastAsia="ru-RU"/>
        </w:rPr>
        <w:t>Об утверждении Положения о природном парке "Волго-Ахтубинская пойма» (п.4.5. «</w:t>
      </w:r>
      <w:r w:rsidRPr="00BF16EF">
        <w:rPr>
          <w:rFonts w:ascii="Times New Roman" w:hAnsi="Times New Roman"/>
          <w:color w:val="2D2D2D"/>
          <w:sz w:val="24"/>
          <w:szCs w:val="24"/>
          <w:lang w:eastAsia="ru-RU"/>
        </w:rPr>
        <w:t>На всей территории природного парка запрещается деятельность, влекущая за собой ...</w:t>
      </w:r>
      <w:r w:rsidRPr="00BF16EF">
        <w:rPr>
          <w:rFonts w:ascii="Times New Roman" w:hAnsi="Times New Roman"/>
          <w:b/>
          <w:bCs/>
          <w:color w:val="2D2D2D"/>
          <w:sz w:val="24"/>
          <w:szCs w:val="24"/>
          <w:lang w:eastAsia="ru-RU"/>
        </w:rPr>
        <w:t> изменение гидрологического режима;…»)</w:t>
      </w:r>
      <w:r w:rsidRPr="00BF16EF">
        <w:rPr>
          <w:rFonts w:ascii="Times New Roman" w:hAnsi="Times New Roman"/>
          <w:color w:val="2D2D2D"/>
          <w:sz w:val="24"/>
          <w:szCs w:val="24"/>
          <w:lang w:eastAsia="ru-RU"/>
        </w:rPr>
        <w:t>.</w:t>
      </w:r>
    </w:p>
    <w:p w:rsidR="008723BB" w:rsidRPr="00BF16EF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9. ОВОС и проект в целом нарочито игнорируют глобальные и региональные изменения окружающей среды в прошлом и будущем.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Причиной экологического кризиса в ВАП является более обширный и более глубокий кризис, охвативший Волгу и весь речной бассейн в результате её масштабной реконструкции на протяжении десятилетий. Единственно верный путь к экологическому оздоровлению как поймы, так и Волги в е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ё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нижнем течении лежит через постепенный е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ё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вывод из-под тяжелейшего антропогенного прессинга, с реализацией мероприятий по постепенному возвращению реке е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ё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естественного облика. Но этот аспект Проектом даже не упоминается.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10. Волга – река федерального значения, управляемая федеральным органом исполнительной власти. Комитет природных ресурсов, лесного хозяйства и экологии Волгоградской области, в нарушение ст.25 Водного кодекса России, превысил уровень своей компетенции, взяв на себя полномочия по определению режима использования части реки Волга и строительству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непосредственно влияющих на е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ё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состояние гидротехнических сооружений.</w:t>
      </w:r>
    </w:p>
    <w:p w:rsidR="008723BB" w:rsidRDefault="008723BB" w:rsidP="00CE6D0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8723BB" w:rsidRDefault="008723BB" w:rsidP="00AF3C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11. По результатам рассмотрения материалов оценки воздействия на окружающую среду (ОВОС) намечаемой хозяйственной деятельности по проекту «Комплекс гидротехнических сооружений, обеспечивающий дополнительное обводнение Волго-Ахтубинской поймы», экспертная комиссия ОЭЭ считает предусмотренное воздействие на окружающую среду </w:t>
      </w: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недопустимым</w:t>
      </w:r>
      <w:r w:rsidRPr="00BF16EF">
        <w:rPr>
          <w:rFonts w:ascii="Times New Roman" w:hAnsi="Times New Roman"/>
          <w:color w:val="333333"/>
          <w:sz w:val="24"/>
          <w:szCs w:val="24"/>
          <w:lang w:eastAsia="ru-RU"/>
        </w:rPr>
        <w:t>, а реализацию проекта </w:t>
      </w:r>
      <w:r w:rsidRPr="00BF16E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невозможной.</w:t>
      </w:r>
    </w:p>
    <w:p w:rsidR="008723BB" w:rsidRDefault="008723BB" w:rsidP="00AF3C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8723BB" w:rsidRDefault="008723BB"/>
    <w:p w:rsidR="008723BB" w:rsidRDefault="008723BB">
      <w:r>
        <w:t xml:space="preserve">                                                                                                                                        </w:t>
      </w:r>
    </w:p>
    <w:p w:rsidR="008723BB" w:rsidRPr="00BF16EF" w:rsidRDefault="008723BB" w:rsidP="00AF3C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723BB" w:rsidRPr="00BF16EF" w:rsidSect="00087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E65"/>
    <w:multiLevelType w:val="multilevel"/>
    <w:tmpl w:val="B7EC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B159F1"/>
    <w:multiLevelType w:val="multilevel"/>
    <w:tmpl w:val="89FA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89B0E1B"/>
    <w:multiLevelType w:val="hybridMultilevel"/>
    <w:tmpl w:val="6FCAF28C"/>
    <w:lvl w:ilvl="0" w:tplc="2C1EC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581C34"/>
    <w:multiLevelType w:val="multilevel"/>
    <w:tmpl w:val="71F6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15118B"/>
    <w:multiLevelType w:val="multilevel"/>
    <w:tmpl w:val="83B0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3794D3E"/>
    <w:multiLevelType w:val="hybridMultilevel"/>
    <w:tmpl w:val="5FAA6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8825E3C"/>
    <w:multiLevelType w:val="multilevel"/>
    <w:tmpl w:val="BAEE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23792F"/>
    <w:multiLevelType w:val="hybridMultilevel"/>
    <w:tmpl w:val="DD92D4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D845E6"/>
    <w:multiLevelType w:val="hybridMultilevel"/>
    <w:tmpl w:val="C79E7C2E"/>
    <w:lvl w:ilvl="0" w:tplc="664843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33333"/>
      </w:rPr>
    </w:lvl>
    <w:lvl w:ilvl="1" w:tplc="8B4EDAD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333333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034287"/>
    <w:multiLevelType w:val="hybridMultilevel"/>
    <w:tmpl w:val="7E920908"/>
    <w:lvl w:ilvl="0" w:tplc="43A0B4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F170225"/>
    <w:multiLevelType w:val="multilevel"/>
    <w:tmpl w:val="0840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EF579A"/>
    <w:multiLevelType w:val="multilevel"/>
    <w:tmpl w:val="101E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FEF3F1B"/>
    <w:multiLevelType w:val="multilevel"/>
    <w:tmpl w:val="6F2AF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0"/>
  </w:num>
  <w:num w:numId="7">
    <w:abstractNumId w:val="11"/>
  </w:num>
  <w:num w:numId="8">
    <w:abstractNumId w:val="0"/>
  </w:num>
  <w:num w:numId="9">
    <w:abstractNumId w:val="2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6EF"/>
    <w:rsid w:val="0001130A"/>
    <w:rsid w:val="00087C02"/>
    <w:rsid w:val="003553AA"/>
    <w:rsid w:val="00364F14"/>
    <w:rsid w:val="003A37ED"/>
    <w:rsid w:val="003E7C78"/>
    <w:rsid w:val="00426473"/>
    <w:rsid w:val="004623EE"/>
    <w:rsid w:val="005270F8"/>
    <w:rsid w:val="00532A84"/>
    <w:rsid w:val="00540280"/>
    <w:rsid w:val="00540EEE"/>
    <w:rsid w:val="00586D40"/>
    <w:rsid w:val="00586F5C"/>
    <w:rsid w:val="005D0143"/>
    <w:rsid w:val="00641ADE"/>
    <w:rsid w:val="00716BA9"/>
    <w:rsid w:val="008723BB"/>
    <w:rsid w:val="00895BD5"/>
    <w:rsid w:val="00995328"/>
    <w:rsid w:val="009B5510"/>
    <w:rsid w:val="009F7F5F"/>
    <w:rsid w:val="00A902DF"/>
    <w:rsid w:val="00A95168"/>
    <w:rsid w:val="00AF3CD5"/>
    <w:rsid w:val="00AF3E40"/>
    <w:rsid w:val="00B24BF1"/>
    <w:rsid w:val="00BF16EF"/>
    <w:rsid w:val="00C7085A"/>
    <w:rsid w:val="00CE6D04"/>
    <w:rsid w:val="00DE02A9"/>
    <w:rsid w:val="00E7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0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1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6</Pages>
  <Words>2454</Words>
  <Characters>13988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Admin</cp:lastModifiedBy>
  <cp:revision>15</cp:revision>
  <cp:lastPrinted>2021-10-14T09:47:00Z</cp:lastPrinted>
  <dcterms:created xsi:type="dcterms:W3CDTF">2021-10-11T18:18:00Z</dcterms:created>
  <dcterms:modified xsi:type="dcterms:W3CDTF">2021-10-14T09:48:00Z</dcterms:modified>
</cp:coreProperties>
</file>