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0955A5B" w:rsidR="009D4CD1" w:rsidRDefault="00D908D5" w:rsidP="007E5F5A">
      <w:pPr>
        <w:spacing w:after="0" w:line="240" w:lineRule="auto"/>
        <w:jc w:val="center"/>
        <w:rPr>
          <w:rFonts w:ascii="Times New Roman" w:eastAsia="Times New Roman" w:hAnsi="Times New Roman" w:cs="Times New Roman"/>
          <w:sz w:val="24"/>
          <w:szCs w:val="24"/>
        </w:rPr>
      </w:pPr>
      <w:r>
        <w:rPr>
          <w:b/>
          <w:color w:val="000000"/>
          <w:sz w:val="28"/>
          <w:szCs w:val="28"/>
        </w:rPr>
        <w:t>NGO</w:t>
      </w:r>
      <w:r w:rsidR="007E5F5A">
        <w:rPr>
          <w:b/>
          <w:color w:val="000000"/>
          <w:sz w:val="28"/>
          <w:szCs w:val="28"/>
        </w:rPr>
        <w:t>s’ Ten P</w:t>
      </w:r>
      <w:r>
        <w:rPr>
          <w:b/>
          <w:color w:val="000000"/>
          <w:sz w:val="28"/>
          <w:szCs w:val="28"/>
        </w:rPr>
        <w:t>riorities</w:t>
      </w:r>
      <w:r w:rsidR="007E5F5A">
        <w:rPr>
          <w:b/>
          <w:color w:val="000000"/>
          <w:sz w:val="28"/>
          <w:szCs w:val="28"/>
        </w:rPr>
        <w:t xml:space="preserve"> for </w:t>
      </w:r>
      <w:r w:rsidR="00C279EA">
        <w:rPr>
          <w:b/>
          <w:color w:val="000000"/>
          <w:sz w:val="28"/>
          <w:szCs w:val="28"/>
        </w:rPr>
        <w:t>EU</w:t>
      </w:r>
      <w:r w:rsidR="007E5F5A">
        <w:rPr>
          <w:b/>
          <w:color w:val="000000"/>
          <w:sz w:val="28"/>
          <w:szCs w:val="28"/>
        </w:rPr>
        <w:t xml:space="preserve"> Sustainable Finance Taxonomy Technical Criteria</w:t>
      </w:r>
    </w:p>
    <w:p w14:paraId="7D6AC7C5" w14:textId="77777777" w:rsidR="007E5F5A" w:rsidRDefault="007E5F5A" w:rsidP="007E5F5A">
      <w:pPr>
        <w:rPr>
          <w:rFonts w:ascii="Times New Roman" w:eastAsia="Times New Roman" w:hAnsi="Times New Roman" w:cs="Times New Roman"/>
          <w:sz w:val="24"/>
          <w:szCs w:val="24"/>
        </w:rPr>
      </w:pPr>
    </w:p>
    <w:p w14:paraId="7DDA875D" w14:textId="77777777" w:rsidR="00924FB5" w:rsidRDefault="00D908D5" w:rsidP="00924FB5">
      <w:pPr>
        <w:jc w:val="both"/>
        <w:rPr>
          <w:color w:val="000000"/>
        </w:rPr>
      </w:pPr>
      <w:r>
        <w:rPr>
          <w:color w:val="000000"/>
        </w:rPr>
        <w:t>We, a coalition of environmental and human rights NGOs</w:t>
      </w:r>
      <w:r w:rsidR="00E50672">
        <w:rPr>
          <w:color w:val="000000"/>
        </w:rPr>
        <w:t xml:space="preserve"> representing millions of EU citizens</w:t>
      </w:r>
      <w:r>
        <w:rPr>
          <w:color w:val="000000"/>
        </w:rPr>
        <w:t xml:space="preserve">, strongly </w:t>
      </w:r>
      <w:r w:rsidR="00E50672">
        <w:rPr>
          <w:color w:val="000000"/>
        </w:rPr>
        <w:t>support</w:t>
      </w:r>
      <w:r>
        <w:rPr>
          <w:color w:val="000000"/>
        </w:rPr>
        <w:t xml:space="preserve"> the development of a</w:t>
      </w:r>
      <w:r w:rsidR="00C56DC7">
        <w:rPr>
          <w:color w:val="000000"/>
        </w:rPr>
        <w:t>n</w:t>
      </w:r>
      <w:r>
        <w:rPr>
          <w:color w:val="000000"/>
        </w:rPr>
        <w:t xml:space="preserve"> EU sustainable taxonomy </w:t>
      </w:r>
      <w:r w:rsidR="00C56DC7">
        <w:rPr>
          <w:color w:val="000000"/>
        </w:rPr>
        <w:t xml:space="preserve">rooted in climate and environmental </w:t>
      </w:r>
      <w:r w:rsidR="00E87213">
        <w:rPr>
          <w:color w:val="000000"/>
        </w:rPr>
        <w:t xml:space="preserve">science </w:t>
      </w:r>
      <w:r>
        <w:rPr>
          <w:color w:val="000000"/>
        </w:rPr>
        <w:t xml:space="preserve">to boost the development of fully sustainable economic activities and reduce the risk of greenwashing. </w:t>
      </w:r>
    </w:p>
    <w:p w14:paraId="15E3B3AD" w14:textId="1CB811D4" w:rsidR="00C279EA" w:rsidRDefault="00D908D5" w:rsidP="00C279EA">
      <w:pPr>
        <w:jc w:val="both"/>
        <w:rPr>
          <w:color w:val="000000"/>
        </w:rPr>
      </w:pPr>
      <w:r>
        <w:rPr>
          <w:color w:val="000000"/>
        </w:rPr>
        <w:t>We have responded individually to the TEG’s public consultation on its proposed technical criteria for the taxonomy</w:t>
      </w:r>
      <w:r w:rsidR="00C56DC7">
        <w:rPr>
          <w:color w:val="000000"/>
        </w:rPr>
        <w:t xml:space="preserve"> but</w:t>
      </w:r>
      <w:r w:rsidR="00D114C1">
        <w:rPr>
          <w:color w:val="000000"/>
        </w:rPr>
        <w:t>,</w:t>
      </w:r>
      <w:r w:rsidR="00C56DC7">
        <w:rPr>
          <w:color w:val="000000"/>
        </w:rPr>
        <w:t xml:space="preserve"> without prejudice to those views</w:t>
      </w:r>
      <w:r w:rsidR="00D114C1">
        <w:rPr>
          <w:color w:val="000000"/>
        </w:rPr>
        <w:t>,</w:t>
      </w:r>
      <w:r>
        <w:rPr>
          <w:color w:val="000000"/>
        </w:rPr>
        <w:t xml:space="preserve"> we also want to highlight the following shared demands, which we consider non-negotiable.</w:t>
      </w:r>
      <w:r w:rsidR="00C56DC7">
        <w:rPr>
          <w:color w:val="000000"/>
        </w:rPr>
        <w:t xml:space="preserve"> </w:t>
      </w:r>
    </w:p>
    <w:p w14:paraId="52A686C3" w14:textId="5B70C285" w:rsidR="007E5F5A" w:rsidRPr="00C279EA" w:rsidRDefault="00F11768" w:rsidP="00C279EA">
      <w:pPr>
        <w:jc w:val="both"/>
        <w:rPr>
          <w:color w:val="000000"/>
        </w:rPr>
      </w:pPr>
      <w:r>
        <w:rPr>
          <w:color w:val="000000"/>
        </w:rPr>
        <w:t>In addition</w:t>
      </w:r>
      <w:r w:rsidR="00D908D5">
        <w:rPr>
          <w:color w:val="000000"/>
        </w:rPr>
        <w:t xml:space="preserve">, we call for much better specification </w:t>
      </w:r>
      <w:r w:rsidR="00CD6D0C">
        <w:rPr>
          <w:color w:val="000000"/>
        </w:rPr>
        <w:t xml:space="preserve">of the minimum social safeguards </w:t>
      </w:r>
      <w:r w:rsidR="00EB4A41">
        <w:rPr>
          <w:color w:val="000000"/>
        </w:rPr>
        <w:t xml:space="preserve">– including </w:t>
      </w:r>
      <w:r w:rsidR="00D908D5">
        <w:rPr>
          <w:color w:val="000000"/>
        </w:rPr>
        <w:t>due diligence procedures</w:t>
      </w:r>
      <w:r w:rsidR="00EB4A41">
        <w:rPr>
          <w:color w:val="000000"/>
        </w:rPr>
        <w:t xml:space="preserve"> –</w:t>
      </w:r>
      <w:r w:rsidR="00D908D5">
        <w:rPr>
          <w:color w:val="000000"/>
        </w:rPr>
        <w:t xml:space="preserve"> </w:t>
      </w:r>
      <w:r w:rsidR="00D114C1">
        <w:rPr>
          <w:color w:val="000000"/>
        </w:rPr>
        <w:t xml:space="preserve">required for any economic activity. </w:t>
      </w:r>
      <w:r w:rsidR="00EB4A41">
        <w:rPr>
          <w:color w:val="000000"/>
        </w:rPr>
        <w:t>This is to ensure</w:t>
      </w:r>
      <w:r w:rsidR="00D908D5">
        <w:rPr>
          <w:color w:val="000000"/>
        </w:rPr>
        <w:t xml:space="preserve"> </w:t>
      </w:r>
      <w:r w:rsidR="00EB4A41">
        <w:rPr>
          <w:color w:val="000000"/>
        </w:rPr>
        <w:t>meaningful</w:t>
      </w:r>
      <w:r w:rsidR="00D908D5">
        <w:rPr>
          <w:color w:val="000000"/>
        </w:rPr>
        <w:t xml:space="preserve"> implement</w:t>
      </w:r>
      <w:r w:rsidR="00EB4A41">
        <w:rPr>
          <w:color w:val="000000"/>
        </w:rPr>
        <w:t>ation of</w:t>
      </w:r>
      <w:r w:rsidR="00D908D5">
        <w:rPr>
          <w:color w:val="000000"/>
        </w:rPr>
        <w:t xml:space="preserve"> the minimum social safeguards </w:t>
      </w:r>
      <w:r w:rsidR="00E87213">
        <w:rPr>
          <w:color w:val="000000"/>
        </w:rPr>
        <w:t xml:space="preserve">identified </w:t>
      </w:r>
      <w:r w:rsidR="00D908D5">
        <w:rPr>
          <w:color w:val="000000"/>
        </w:rPr>
        <w:t xml:space="preserve">in Article 13, including </w:t>
      </w:r>
      <w:r w:rsidR="00EB4A41">
        <w:rPr>
          <w:color w:val="000000"/>
        </w:rPr>
        <w:t>those</w:t>
      </w:r>
      <w:r w:rsidR="00D908D5">
        <w:rPr>
          <w:color w:val="000000"/>
        </w:rPr>
        <w:t xml:space="preserve"> added by the European Parliament and the European Council.</w:t>
      </w:r>
      <w:r w:rsidR="00D908D5">
        <w:t xml:space="preserve"> </w:t>
      </w:r>
      <w:r>
        <w:t>The review and assessment of the suitability of these safeguards should be a central mandate of the future Platform on Sustainable Finance, which should include stakeholders with the expertise to carry out these tasks.</w:t>
      </w:r>
    </w:p>
    <w:p w14:paraId="2647D763" w14:textId="77777777" w:rsidR="0005505B" w:rsidRDefault="0005505B" w:rsidP="00F11768">
      <w:pPr>
        <w:spacing w:before="240" w:after="0" w:line="240" w:lineRule="auto"/>
        <w:jc w:val="both"/>
        <w:rPr>
          <w:b/>
          <w:color w:val="000000"/>
          <w:sz w:val="28"/>
          <w:szCs w:val="28"/>
        </w:rPr>
      </w:pPr>
    </w:p>
    <w:p w14:paraId="00000011" w14:textId="57CFA8D0" w:rsidR="009D4CD1" w:rsidRPr="00F11768" w:rsidRDefault="00D908D5" w:rsidP="00F11768">
      <w:pPr>
        <w:spacing w:before="240" w:after="0" w:line="240" w:lineRule="auto"/>
        <w:jc w:val="both"/>
      </w:pPr>
      <w:r>
        <w:rPr>
          <w:b/>
          <w:color w:val="000000"/>
          <w:sz w:val="28"/>
          <w:szCs w:val="28"/>
        </w:rPr>
        <w:t>A. Economic activities for which the criteria need to be tightened</w:t>
      </w:r>
    </w:p>
    <w:p w14:paraId="00000013" w14:textId="77777777" w:rsidR="009D4CD1" w:rsidRDefault="009D4CD1">
      <w:pPr>
        <w:spacing w:after="0" w:line="240" w:lineRule="auto"/>
        <w:jc w:val="both"/>
        <w:rPr>
          <w:rFonts w:ascii="Times New Roman" w:eastAsia="Times New Roman" w:hAnsi="Times New Roman" w:cs="Times New Roman"/>
          <w:sz w:val="24"/>
          <w:szCs w:val="24"/>
        </w:rPr>
      </w:pPr>
    </w:p>
    <w:p w14:paraId="00000014" w14:textId="4FC6B591" w:rsidR="009D4CD1" w:rsidRDefault="00C56DC7">
      <w:pPr>
        <w:numPr>
          <w:ilvl w:val="0"/>
          <w:numId w:val="1"/>
        </w:numPr>
        <w:pBdr>
          <w:top w:val="nil"/>
          <w:left w:val="nil"/>
          <w:bottom w:val="nil"/>
          <w:right w:val="nil"/>
          <w:between w:val="nil"/>
        </w:pBdr>
        <w:spacing w:after="0" w:line="240" w:lineRule="auto"/>
        <w:jc w:val="both"/>
        <w:rPr>
          <w:b/>
          <w:color w:val="000000"/>
        </w:rPr>
      </w:pPr>
      <w:r>
        <w:rPr>
          <w:b/>
          <w:color w:val="000000"/>
        </w:rPr>
        <w:t xml:space="preserve">Bioenergy for power, </w:t>
      </w:r>
      <w:r w:rsidR="00D908D5">
        <w:rPr>
          <w:b/>
          <w:color w:val="000000"/>
        </w:rPr>
        <w:t>heat</w:t>
      </w:r>
      <w:r>
        <w:rPr>
          <w:b/>
          <w:color w:val="000000"/>
        </w:rPr>
        <w:t xml:space="preserve"> and transport</w:t>
      </w:r>
    </w:p>
    <w:p w14:paraId="00000015" w14:textId="0EDBC7A0" w:rsidR="009D4CD1" w:rsidRDefault="00C56DC7">
      <w:pPr>
        <w:spacing w:before="240" w:after="0" w:line="240" w:lineRule="auto"/>
        <w:jc w:val="both"/>
        <w:rPr>
          <w:color w:val="000000"/>
        </w:rPr>
      </w:pPr>
      <w:r>
        <w:rPr>
          <w:color w:val="000000"/>
        </w:rPr>
        <w:t>To ensure that bioenergy incentivised by EU policies delivers genuine climate benefits compared to fossil fuels, s</w:t>
      </w:r>
      <w:r w:rsidR="00D908D5">
        <w:rPr>
          <w:color w:val="000000"/>
        </w:rPr>
        <w:t xml:space="preserve">tricter criteria on the type of feedstock </w:t>
      </w:r>
      <w:r>
        <w:rPr>
          <w:color w:val="000000"/>
        </w:rPr>
        <w:t>that can</w:t>
      </w:r>
      <w:r w:rsidR="00D908D5">
        <w:rPr>
          <w:color w:val="000000"/>
        </w:rPr>
        <w:t xml:space="preserve"> be burned are required. </w:t>
      </w:r>
      <w:r w:rsidR="007E5511">
        <w:rPr>
          <w:color w:val="000000"/>
        </w:rPr>
        <w:t>The t</w:t>
      </w:r>
      <w:r w:rsidR="003C3620" w:rsidRPr="003C3620">
        <w:rPr>
          <w:color w:val="000000"/>
        </w:rPr>
        <w:t xml:space="preserve">axonomy </w:t>
      </w:r>
      <w:r w:rsidR="007E5511">
        <w:rPr>
          <w:color w:val="000000"/>
        </w:rPr>
        <w:t>should only cover activities</w:t>
      </w:r>
      <w:r w:rsidR="003C3620" w:rsidRPr="003C3620">
        <w:rPr>
          <w:color w:val="000000"/>
        </w:rPr>
        <w:t xml:space="preserve"> using separately collected biowaste, fast-decaying agricultural wastes, and residues with no other use. It should exclude any</w:t>
      </w:r>
      <w:r w:rsidR="003C3620">
        <w:rPr>
          <w:color w:val="000000"/>
        </w:rPr>
        <w:t xml:space="preserve"> </w:t>
      </w:r>
      <w:r w:rsidR="007E5511">
        <w:rPr>
          <w:color w:val="000000"/>
        </w:rPr>
        <w:t>activity</w:t>
      </w:r>
      <w:r w:rsidR="003C3620">
        <w:rPr>
          <w:color w:val="000000"/>
        </w:rPr>
        <w:t xml:space="preserve"> based on</w:t>
      </w:r>
      <w:r w:rsidR="00D908D5">
        <w:rPr>
          <w:color w:val="000000"/>
        </w:rPr>
        <w:t xml:space="preserve"> </w:t>
      </w:r>
      <w:r w:rsidR="003C3620">
        <w:rPr>
          <w:color w:val="000000"/>
        </w:rPr>
        <w:t>‘</w:t>
      </w:r>
      <w:r w:rsidR="00D908D5">
        <w:rPr>
          <w:color w:val="000000"/>
        </w:rPr>
        <w:t>first generation</w:t>
      </w:r>
      <w:r w:rsidR="003C3620">
        <w:rPr>
          <w:color w:val="000000"/>
        </w:rPr>
        <w:t>’</w:t>
      </w:r>
      <w:r w:rsidR="00D908D5">
        <w:rPr>
          <w:color w:val="000000"/>
        </w:rPr>
        <w:t xml:space="preserve"> crop-b</w:t>
      </w:r>
      <w:r>
        <w:rPr>
          <w:color w:val="000000"/>
        </w:rPr>
        <w:t>ased biofuels and biogas or the use of coarse forest harvest residues such as tree trunks and stumps.</w:t>
      </w:r>
    </w:p>
    <w:p w14:paraId="00000018" w14:textId="440BD89A" w:rsidR="009D4CD1" w:rsidRPr="007E5F5A" w:rsidRDefault="00C56DC7" w:rsidP="007E5F5A">
      <w:pPr>
        <w:spacing w:before="240" w:after="0" w:line="240" w:lineRule="auto"/>
        <w:jc w:val="both"/>
        <w:rPr>
          <w:color w:val="000000"/>
        </w:rPr>
      </w:pPr>
      <w:r>
        <w:rPr>
          <w:color w:val="000000"/>
        </w:rPr>
        <w:t>In addition, t</w:t>
      </w:r>
      <w:r w:rsidR="00D908D5">
        <w:rPr>
          <w:color w:val="000000"/>
        </w:rPr>
        <w:t xml:space="preserve">he TEG </w:t>
      </w:r>
      <w:r w:rsidR="00501B6B">
        <w:rPr>
          <w:color w:val="000000"/>
        </w:rPr>
        <w:t xml:space="preserve">should </w:t>
      </w:r>
      <w:r>
        <w:rPr>
          <w:color w:val="000000"/>
        </w:rPr>
        <w:t>exclude</w:t>
      </w:r>
      <w:r w:rsidR="00D908D5">
        <w:rPr>
          <w:color w:val="000000"/>
        </w:rPr>
        <w:t xml:space="preserve"> co-firing </w:t>
      </w:r>
      <w:r>
        <w:rPr>
          <w:color w:val="000000"/>
        </w:rPr>
        <w:t xml:space="preserve">of biomass </w:t>
      </w:r>
      <w:r w:rsidR="00D908D5">
        <w:rPr>
          <w:color w:val="000000"/>
        </w:rPr>
        <w:t xml:space="preserve">with fossil fuels, coal-to-biomass conversion, and burning biomass exclusively or primarily to obtain electricity, not heat. </w:t>
      </w:r>
    </w:p>
    <w:p w14:paraId="00000019" w14:textId="77777777" w:rsidR="009D4CD1" w:rsidRDefault="009D4CD1">
      <w:pPr>
        <w:spacing w:after="0" w:line="240" w:lineRule="auto"/>
        <w:jc w:val="both"/>
        <w:rPr>
          <w:rFonts w:ascii="Times New Roman" w:eastAsia="Times New Roman" w:hAnsi="Times New Roman" w:cs="Times New Roman"/>
          <w:sz w:val="24"/>
          <w:szCs w:val="24"/>
        </w:rPr>
      </w:pPr>
    </w:p>
    <w:p w14:paraId="0000001B" w14:textId="747F7BE2" w:rsidR="009D4CD1" w:rsidRPr="00EB4A41" w:rsidRDefault="00D908D5" w:rsidP="00EB4A41">
      <w:pPr>
        <w:numPr>
          <w:ilvl w:val="0"/>
          <w:numId w:val="1"/>
        </w:numPr>
        <w:pBdr>
          <w:top w:val="nil"/>
          <w:left w:val="nil"/>
          <w:bottom w:val="nil"/>
          <w:right w:val="nil"/>
          <w:between w:val="nil"/>
        </w:pBdr>
        <w:spacing w:after="0" w:line="240" w:lineRule="auto"/>
        <w:jc w:val="both"/>
        <w:rPr>
          <w:b/>
          <w:color w:val="000000"/>
        </w:rPr>
      </w:pPr>
      <w:r>
        <w:rPr>
          <w:b/>
          <w:color w:val="000000"/>
        </w:rPr>
        <w:t>Forestry</w:t>
      </w:r>
    </w:p>
    <w:p w14:paraId="11594CED" w14:textId="51239070" w:rsidR="007E5F5A" w:rsidRDefault="0005505B" w:rsidP="007E5F5A">
      <w:pPr>
        <w:spacing w:before="240" w:after="0" w:line="240" w:lineRule="auto"/>
        <w:jc w:val="both"/>
        <w:rPr>
          <w:rFonts w:eastAsia="Times New Roman"/>
          <w:color w:val="000000"/>
        </w:rPr>
      </w:pPr>
      <w:r>
        <w:rPr>
          <w:rFonts w:eastAsia="Times New Roman"/>
          <w:color w:val="000000"/>
        </w:rPr>
        <w:t>One of our main concerns is the lack of action to</w:t>
      </w:r>
      <w:r w:rsidR="00FF482B">
        <w:rPr>
          <w:rFonts w:eastAsia="Times New Roman"/>
          <w:color w:val="000000"/>
        </w:rPr>
        <w:t xml:space="preserve"> </w:t>
      </w:r>
      <w:r>
        <w:rPr>
          <w:rFonts w:eastAsia="Times New Roman"/>
          <w:color w:val="000000"/>
        </w:rPr>
        <w:t>protect</w:t>
      </w:r>
      <w:r w:rsidR="00FF482B">
        <w:rPr>
          <w:rFonts w:eastAsia="Times New Roman"/>
          <w:color w:val="000000"/>
        </w:rPr>
        <w:t xml:space="preserve"> </w:t>
      </w:r>
      <w:r w:rsidR="00FF482B" w:rsidRPr="00FF482B">
        <w:rPr>
          <w:rFonts w:eastAsia="Times New Roman"/>
          <w:color w:val="000000"/>
        </w:rPr>
        <w:t>natural forests against deforestation.</w:t>
      </w:r>
      <w:r>
        <w:rPr>
          <w:rFonts w:eastAsia="Times New Roman"/>
          <w:color w:val="000000"/>
        </w:rPr>
        <w:t xml:space="preserve"> T</w:t>
      </w:r>
      <w:r w:rsidR="00F11768" w:rsidRPr="00F11768">
        <w:rPr>
          <w:rFonts w:eastAsia="Times New Roman"/>
          <w:color w:val="000000"/>
        </w:rPr>
        <w:t xml:space="preserve">he implicit incentive for large-scale monoculture plantations </w:t>
      </w:r>
      <w:r w:rsidR="00FF482B">
        <w:rPr>
          <w:rFonts w:eastAsia="Times New Roman"/>
          <w:color w:val="000000"/>
        </w:rPr>
        <w:t xml:space="preserve">is </w:t>
      </w:r>
      <w:r>
        <w:rPr>
          <w:rFonts w:eastAsia="Times New Roman"/>
          <w:color w:val="000000"/>
        </w:rPr>
        <w:t>concerning</w:t>
      </w:r>
      <w:r w:rsidR="00F11768" w:rsidRPr="00F11768">
        <w:rPr>
          <w:rFonts w:eastAsia="Times New Roman"/>
          <w:color w:val="000000"/>
        </w:rPr>
        <w:t xml:space="preserve">. </w:t>
      </w:r>
      <w:r w:rsidR="00FF482B" w:rsidRPr="00FF482B">
        <w:rPr>
          <w:rFonts w:eastAsia="Times New Roman"/>
          <w:color w:val="000000"/>
        </w:rPr>
        <w:t>Afforestation or reforestation of fore</w:t>
      </w:r>
      <w:r w:rsidR="00FF482B">
        <w:rPr>
          <w:rFonts w:eastAsia="Times New Roman"/>
          <w:color w:val="000000"/>
        </w:rPr>
        <w:t xml:space="preserve">sts </w:t>
      </w:r>
      <w:r>
        <w:rPr>
          <w:rFonts w:eastAsia="Times New Roman"/>
          <w:color w:val="000000"/>
        </w:rPr>
        <w:t>is insufficient</w:t>
      </w:r>
      <w:r w:rsidR="00FF482B">
        <w:rPr>
          <w:rFonts w:eastAsia="Times New Roman"/>
          <w:color w:val="000000"/>
        </w:rPr>
        <w:t xml:space="preserve"> to replace </w:t>
      </w:r>
      <w:r w:rsidR="00FF482B" w:rsidRPr="00FF482B">
        <w:rPr>
          <w:rFonts w:eastAsia="Times New Roman"/>
          <w:color w:val="000000"/>
        </w:rPr>
        <w:t>forests lost to deforestation.</w:t>
      </w:r>
      <w:r w:rsidR="00FF482B">
        <w:rPr>
          <w:rFonts w:eastAsia="Times New Roman"/>
          <w:color w:val="000000"/>
        </w:rPr>
        <w:t xml:space="preserve"> </w:t>
      </w:r>
      <w:r>
        <w:rPr>
          <w:rFonts w:eastAsia="Times New Roman"/>
          <w:color w:val="000000"/>
        </w:rPr>
        <w:t>Protecting</w:t>
      </w:r>
      <w:r w:rsidR="00FF482B" w:rsidRPr="00FF482B">
        <w:rPr>
          <w:rFonts w:eastAsia="Times New Roman"/>
          <w:color w:val="000000"/>
        </w:rPr>
        <w:t>, restoring an</w:t>
      </w:r>
      <w:r w:rsidR="00FF482B">
        <w:rPr>
          <w:rFonts w:eastAsia="Times New Roman"/>
          <w:color w:val="000000"/>
        </w:rPr>
        <w:t>d enriching biodiversity should</w:t>
      </w:r>
      <w:r>
        <w:rPr>
          <w:rFonts w:eastAsia="Times New Roman"/>
          <w:color w:val="000000"/>
        </w:rPr>
        <w:t xml:space="preserve"> </w:t>
      </w:r>
      <w:r w:rsidR="00FF482B" w:rsidRPr="00FF482B">
        <w:rPr>
          <w:rFonts w:eastAsia="Times New Roman"/>
          <w:color w:val="000000"/>
        </w:rPr>
        <w:t>be an underlying principle of the actions</w:t>
      </w:r>
      <w:r>
        <w:rPr>
          <w:rFonts w:eastAsia="Times New Roman"/>
          <w:color w:val="000000"/>
        </w:rPr>
        <w:t>. Furthermore,</w:t>
      </w:r>
      <w:r w:rsidRPr="00F11768">
        <w:rPr>
          <w:rFonts w:eastAsia="Times New Roman"/>
          <w:color w:val="000000"/>
        </w:rPr>
        <w:t xml:space="preserve"> a highly referenced </w:t>
      </w:r>
      <w:r>
        <w:rPr>
          <w:rFonts w:eastAsia="Times New Roman"/>
          <w:color w:val="000000"/>
        </w:rPr>
        <w:t>April 2019</w:t>
      </w:r>
      <w:r w:rsidRPr="00F11768">
        <w:rPr>
          <w:rFonts w:eastAsia="Times New Roman"/>
          <w:color w:val="000000"/>
        </w:rPr>
        <w:t xml:space="preserve"> study published in Nature concluded that “restoring natural forests is the best way to remove atmospheric carbon”. This should therefore receive a much higher priority under the taxonomy.</w:t>
      </w:r>
    </w:p>
    <w:p w14:paraId="5C69063B" w14:textId="77777777" w:rsidR="0005505B" w:rsidRPr="007E5F5A" w:rsidRDefault="0005505B" w:rsidP="007E5F5A">
      <w:pPr>
        <w:spacing w:before="240" w:after="0" w:line="240" w:lineRule="auto"/>
        <w:jc w:val="both"/>
        <w:rPr>
          <w:rFonts w:eastAsia="Times New Roman"/>
          <w:color w:val="000000"/>
        </w:rPr>
      </w:pPr>
    </w:p>
    <w:p w14:paraId="00000020" w14:textId="5E186534" w:rsidR="009D4CD1" w:rsidRPr="00EB4A41" w:rsidRDefault="00D908D5" w:rsidP="00EB4A41">
      <w:pPr>
        <w:numPr>
          <w:ilvl w:val="0"/>
          <w:numId w:val="1"/>
        </w:numPr>
        <w:pBdr>
          <w:top w:val="nil"/>
          <w:left w:val="nil"/>
          <w:bottom w:val="nil"/>
          <w:right w:val="nil"/>
          <w:between w:val="nil"/>
        </w:pBdr>
        <w:spacing w:after="0" w:line="240" w:lineRule="auto"/>
        <w:jc w:val="both"/>
        <w:rPr>
          <w:b/>
          <w:color w:val="000000"/>
        </w:rPr>
      </w:pPr>
      <w:r>
        <w:rPr>
          <w:b/>
          <w:color w:val="000000"/>
        </w:rPr>
        <w:t>Hydropower</w:t>
      </w:r>
    </w:p>
    <w:p w14:paraId="60421504" w14:textId="569B1F68" w:rsidR="009E5BC6" w:rsidRDefault="00EB4A41" w:rsidP="00C279EA">
      <w:pPr>
        <w:spacing w:before="240" w:after="0" w:line="240" w:lineRule="auto"/>
        <w:jc w:val="both"/>
        <w:rPr>
          <w:color w:val="000000"/>
        </w:rPr>
      </w:pPr>
      <w:r>
        <w:rPr>
          <w:color w:val="000000"/>
        </w:rPr>
        <w:t>As on</w:t>
      </w:r>
      <w:r w:rsidR="00D908D5">
        <w:rPr>
          <w:color w:val="000000"/>
        </w:rPr>
        <w:t>e of the key degraders of freshwater biodiversity, hydropower should be subject to stricter and simpler criteria</w:t>
      </w:r>
      <w:r w:rsidR="009E5BC6">
        <w:rPr>
          <w:color w:val="000000"/>
        </w:rPr>
        <w:t xml:space="preserve">. </w:t>
      </w:r>
      <w:r w:rsidR="00D908D5">
        <w:rPr>
          <w:color w:val="000000"/>
        </w:rPr>
        <w:t xml:space="preserve">Greenfield </w:t>
      </w:r>
      <w:r w:rsidR="00B4684A">
        <w:rPr>
          <w:color w:val="000000"/>
        </w:rPr>
        <w:t xml:space="preserve">hydropower </w:t>
      </w:r>
      <w:r w:rsidR="00D908D5">
        <w:rPr>
          <w:color w:val="000000"/>
        </w:rPr>
        <w:t>plants should not be developed in the EU</w:t>
      </w:r>
      <w:r w:rsidR="009E5BC6">
        <w:rPr>
          <w:color w:val="000000"/>
        </w:rPr>
        <w:t xml:space="preserve"> anymore given the huge </w:t>
      </w:r>
      <w:r w:rsidR="009E5BC6">
        <w:rPr>
          <w:color w:val="000000"/>
        </w:rPr>
        <w:lastRenderedPageBreak/>
        <w:t>number of existing dams</w:t>
      </w:r>
      <w:r w:rsidR="00501B6B">
        <w:rPr>
          <w:color w:val="000000"/>
        </w:rPr>
        <w:t>: retrofits should be given priority but only if they are more beneficial to society and environment than decommissioning and they don’t cause added deterioration of water status</w:t>
      </w:r>
      <w:r w:rsidR="009E5BC6">
        <w:rPr>
          <w:color w:val="000000"/>
        </w:rPr>
        <w:t>.</w:t>
      </w:r>
    </w:p>
    <w:p w14:paraId="25584264" w14:textId="46B39DF1" w:rsidR="006C62D0" w:rsidRDefault="00D908D5" w:rsidP="00C279EA">
      <w:pPr>
        <w:spacing w:before="240" w:after="0" w:line="240" w:lineRule="auto"/>
        <w:jc w:val="both"/>
        <w:rPr>
          <w:color w:val="000000"/>
        </w:rPr>
      </w:pPr>
      <w:r>
        <w:rPr>
          <w:color w:val="000000"/>
        </w:rPr>
        <w:t>Ou</w:t>
      </w:r>
      <w:r w:rsidR="00D53273">
        <w:rPr>
          <w:color w:val="000000"/>
        </w:rPr>
        <w:t xml:space="preserve">tside the EU, they should never </w:t>
      </w:r>
      <w:r w:rsidR="00B4684A" w:rsidRPr="00B4684A">
        <w:rPr>
          <w:color w:val="000000"/>
        </w:rPr>
        <w:t>impact freshwater ecosystems of high ecological importance</w:t>
      </w:r>
      <w:r w:rsidR="00B4684A">
        <w:rPr>
          <w:color w:val="000000"/>
        </w:rPr>
        <w:t xml:space="preserve"> nor </w:t>
      </w:r>
      <w:r w:rsidR="00D53273">
        <w:rPr>
          <w:color w:val="000000"/>
        </w:rPr>
        <w:t xml:space="preserve">take place in </w:t>
      </w:r>
      <w:r>
        <w:rPr>
          <w:color w:val="000000"/>
        </w:rPr>
        <w:t xml:space="preserve">protected </w:t>
      </w:r>
      <w:r w:rsidR="009E5BC6">
        <w:rPr>
          <w:color w:val="000000"/>
        </w:rPr>
        <w:t>areas.</w:t>
      </w:r>
      <w:r w:rsidR="009E5BC6">
        <w:rPr>
          <w:color w:val="000000"/>
        </w:rPr>
        <w:t xml:space="preserve"> </w:t>
      </w:r>
      <w:r w:rsidR="00B4684A">
        <w:rPr>
          <w:color w:val="000000"/>
        </w:rPr>
        <w:t>H</w:t>
      </w:r>
      <w:r>
        <w:rPr>
          <w:color w:val="000000"/>
        </w:rPr>
        <w:t xml:space="preserve">ydropower should </w:t>
      </w:r>
      <w:r w:rsidR="00D53273">
        <w:rPr>
          <w:color w:val="000000"/>
        </w:rPr>
        <w:t xml:space="preserve">only </w:t>
      </w:r>
      <w:r>
        <w:rPr>
          <w:color w:val="000000"/>
        </w:rPr>
        <w:t>be developed as a last resort when alternatives such as solar, wind or demand-side energy efficiency are unavailable</w:t>
      </w:r>
      <w:r w:rsidR="00D53273">
        <w:rPr>
          <w:color w:val="000000"/>
        </w:rPr>
        <w:t>. This</w:t>
      </w:r>
      <w:r>
        <w:rPr>
          <w:color w:val="000000"/>
        </w:rPr>
        <w:t xml:space="preserve"> </w:t>
      </w:r>
      <w:r w:rsidR="00D53273">
        <w:rPr>
          <w:color w:val="000000"/>
        </w:rPr>
        <w:t>should be</w:t>
      </w:r>
      <w:r>
        <w:rPr>
          <w:color w:val="000000"/>
        </w:rPr>
        <w:t xml:space="preserve"> based on comprehensive </w:t>
      </w:r>
      <w:r w:rsidR="00D53273">
        <w:rPr>
          <w:color w:val="000000"/>
        </w:rPr>
        <w:t>impact assessments</w:t>
      </w:r>
      <w:r>
        <w:rPr>
          <w:color w:val="000000"/>
        </w:rPr>
        <w:t xml:space="preserve"> and </w:t>
      </w:r>
      <w:r w:rsidR="00D53273">
        <w:rPr>
          <w:color w:val="000000"/>
        </w:rPr>
        <w:t>cost-benefits analyse</w:t>
      </w:r>
      <w:r>
        <w:rPr>
          <w:color w:val="000000"/>
        </w:rPr>
        <w:t>s</w:t>
      </w:r>
      <w:r w:rsidR="00D53273">
        <w:rPr>
          <w:color w:val="000000"/>
        </w:rPr>
        <w:t xml:space="preserve"> which</w:t>
      </w:r>
      <w:r>
        <w:rPr>
          <w:color w:val="000000"/>
        </w:rPr>
        <w:t xml:space="preserve"> </w:t>
      </w:r>
      <w:r w:rsidR="00D53273">
        <w:rPr>
          <w:color w:val="000000"/>
        </w:rPr>
        <w:t>give</w:t>
      </w:r>
      <w:r>
        <w:rPr>
          <w:color w:val="000000"/>
        </w:rPr>
        <w:t xml:space="preserve"> na</w:t>
      </w:r>
      <w:r w:rsidR="00D53273">
        <w:rPr>
          <w:color w:val="000000"/>
        </w:rPr>
        <w:t>ture and water conservation the same weight as climate and energy</w:t>
      </w:r>
      <w:r>
        <w:rPr>
          <w:color w:val="000000"/>
        </w:rPr>
        <w:t>.</w:t>
      </w:r>
    </w:p>
    <w:p w14:paraId="00000026" w14:textId="6A8B1AD8" w:rsidR="009D4CD1" w:rsidRDefault="00D908D5" w:rsidP="007E5F5A">
      <w:pPr>
        <w:spacing w:before="240" w:after="0" w:line="240" w:lineRule="auto"/>
        <w:jc w:val="both"/>
        <w:rPr>
          <w:color w:val="000000"/>
        </w:rPr>
      </w:pPr>
      <w:r>
        <w:rPr>
          <w:color w:val="000000"/>
        </w:rPr>
        <w:t>Tighter criteria are also needed</w:t>
      </w:r>
      <w:r w:rsidR="009E5BC6">
        <w:rPr>
          <w:color w:val="000000"/>
        </w:rPr>
        <w:t xml:space="preserve"> for pollution and ecosystems impacts</w:t>
      </w:r>
      <w:r>
        <w:rPr>
          <w:color w:val="000000"/>
        </w:rPr>
        <w:t xml:space="preserve">. Criteria </w:t>
      </w:r>
      <w:r w:rsidR="006C62D0">
        <w:rPr>
          <w:color w:val="000000"/>
        </w:rPr>
        <w:t xml:space="preserve">are </w:t>
      </w:r>
      <w:r w:rsidR="00B4684A">
        <w:rPr>
          <w:color w:val="000000"/>
        </w:rPr>
        <w:t xml:space="preserve">also </w:t>
      </w:r>
      <w:r w:rsidR="006C62D0">
        <w:rPr>
          <w:color w:val="000000"/>
        </w:rPr>
        <w:t xml:space="preserve">necessary </w:t>
      </w:r>
      <w:r>
        <w:rPr>
          <w:color w:val="000000"/>
        </w:rPr>
        <w:t xml:space="preserve">for new pumped-storage hydropower to favour its development outside natural streams and lakes. </w:t>
      </w:r>
    </w:p>
    <w:p w14:paraId="66766423" w14:textId="77777777" w:rsidR="007E5F5A" w:rsidRDefault="007E5F5A" w:rsidP="007E5F5A">
      <w:pPr>
        <w:spacing w:before="240" w:after="0" w:line="240" w:lineRule="auto"/>
        <w:jc w:val="both"/>
        <w:rPr>
          <w:color w:val="000000"/>
        </w:rPr>
      </w:pPr>
    </w:p>
    <w:p w14:paraId="00000027" w14:textId="4C737EB2"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Cross-cutting ‘do no significant harm’ criteria on biodiversity and stra</w:t>
      </w:r>
      <w:r w:rsidR="00EB4A41">
        <w:rPr>
          <w:b/>
          <w:color w:val="000000"/>
        </w:rPr>
        <w:t>tegic environmental assessments</w:t>
      </w:r>
    </w:p>
    <w:p w14:paraId="479579EE" w14:textId="77777777" w:rsidR="00EB4A41" w:rsidRDefault="00EB4A41" w:rsidP="00EB4A41">
      <w:pPr>
        <w:pBdr>
          <w:top w:val="nil"/>
          <w:left w:val="nil"/>
          <w:bottom w:val="nil"/>
          <w:right w:val="nil"/>
          <w:between w:val="nil"/>
        </w:pBdr>
        <w:spacing w:after="0" w:line="240" w:lineRule="auto"/>
        <w:ind w:left="720"/>
        <w:jc w:val="both"/>
        <w:rPr>
          <w:b/>
          <w:color w:val="000000"/>
        </w:rPr>
      </w:pPr>
    </w:p>
    <w:p w14:paraId="00000028" w14:textId="77777777" w:rsidR="009D4CD1" w:rsidRDefault="009D4CD1">
      <w:pPr>
        <w:spacing w:after="0" w:line="240" w:lineRule="auto"/>
        <w:jc w:val="both"/>
        <w:rPr>
          <w:color w:val="000000"/>
        </w:rPr>
      </w:pPr>
    </w:p>
    <w:p w14:paraId="00000029" w14:textId="136F420D" w:rsidR="009D4CD1" w:rsidRDefault="00D908D5">
      <w:pPr>
        <w:spacing w:after="0" w:line="240" w:lineRule="auto"/>
        <w:jc w:val="both"/>
        <w:rPr>
          <w:b/>
          <w:color w:val="000000"/>
        </w:rPr>
      </w:pPr>
      <w:r>
        <w:rPr>
          <w:color w:val="000000"/>
        </w:rPr>
        <w:t>We need stronger do no significant harm (DNSH) criteria on biodiversity. The TEG should</w:t>
      </w:r>
      <w:r w:rsidR="00C279EA">
        <w:rPr>
          <w:color w:val="000000"/>
        </w:rPr>
        <w:t>,</w:t>
      </w:r>
      <w:r>
        <w:rPr>
          <w:color w:val="000000"/>
        </w:rPr>
        <w:t xml:space="preserve"> as a minimum</w:t>
      </w:r>
      <w:r w:rsidR="00C279EA">
        <w:rPr>
          <w:color w:val="000000"/>
        </w:rPr>
        <w:t>,</w:t>
      </w:r>
      <w:r>
        <w:rPr>
          <w:color w:val="000000"/>
        </w:rPr>
        <w:t xml:space="preserve"> exclude industrial activities and infrastructure that may harm protected areas. Ideally, it should require an assessment that each project does not harm biodiversity. Furthermore, we need strategic environmental assessments to confirm the environmental and social acceptability of a development.</w:t>
      </w:r>
    </w:p>
    <w:p w14:paraId="0000002A" w14:textId="77777777" w:rsidR="009D4CD1" w:rsidRDefault="009D4CD1">
      <w:pPr>
        <w:spacing w:after="0" w:line="240" w:lineRule="auto"/>
        <w:jc w:val="both"/>
        <w:rPr>
          <w:b/>
          <w:color w:val="000000"/>
        </w:rPr>
      </w:pPr>
    </w:p>
    <w:p w14:paraId="0000002C" w14:textId="4059DCE0" w:rsidR="009D4CD1" w:rsidRPr="00EB4A41" w:rsidRDefault="00D908D5" w:rsidP="00EB4A41">
      <w:pPr>
        <w:spacing w:after="0" w:line="240" w:lineRule="auto"/>
        <w:jc w:val="both"/>
        <w:rPr>
          <w:b/>
          <w:color w:val="000000"/>
        </w:rPr>
      </w:pPr>
      <w:r>
        <w:rPr>
          <w:color w:val="000000"/>
        </w:rPr>
        <w:t xml:space="preserve">DNHS requirements should be inserted consistently into all relevant sectoral standards and ensure adherence to European regulations, international environmental conventions. </w:t>
      </w:r>
    </w:p>
    <w:p w14:paraId="0000002D" w14:textId="77777777" w:rsidR="009D4CD1" w:rsidRDefault="009D4CD1">
      <w:pPr>
        <w:spacing w:after="0" w:line="240" w:lineRule="auto"/>
        <w:ind w:hanging="720"/>
        <w:jc w:val="both"/>
        <w:rPr>
          <w:b/>
          <w:color w:val="000000"/>
          <w:sz w:val="28"/>
          <w:szCs w:val="28"/>
        </w:rPr>
      </w:pPr>
    </w:p>
    <w:p w14:paraId="392A8BF4" w14:textId="77777777" w:rsidR="007E5F5A" w:rsidRDefault="007E5F5A" w:rsidP="00F11768">
      <w:pPr>
        <w:spacing w:after="0" w:line="240" w:lineRule="auto"/>
        <w:jc w:val="both"/>
        <w:rPr>
          <w:b/>
          <w:color w:val="000000"/>
          <w:sz w:val="28"/>
          <w:szCs w:val="28"/>
        </w:rPr>
      </w:pPr>
    </w:p>
    <w:p w14:paraId="0000002F" w14:textId="6CD4A443" w:rsidR="009D4CD1" w:rsidRDefault="00D908D5" w:rsidP="0005505B">
      <w:pPr>
        <w:spacing w:after="0" w:line="240" w:lineRule="auto"/>
        <w:jc w:val="both"/>
        <w:rPr>
          <w:b/>
          <w:color w:val="000000"/>
          <w:sz w:val="28"/>
          <w:szCs w:val="28"/>
        </w:rPr>
      </w:pPr>
      <w:r>
        <w:rPr>
          <w:b/>
          <w:color w:val="000000"/>
          <w:sz w:val="28"/>
          <w:szCs w:val="28"/>
        </w:rPr>
        <w:t>B. Economic activities to remove from the EU sustainable taxonomy</w:t>
      </w:r>
    </w:p>
    <w:p w14:paraId="00000030" w14:textId="77777777" w:rsidR="009D4CD1" w:rsidRDefault="009D4CD1">
      <w:pPr>
        <w:spacing w:after="0" w:line="240" w:lineRule="auto"/>
        <w:ind w:hanging="720"/>
        <w:jc w:val="both"/>
        <w:rPr>
          <w:color w:val="000000"/>
        </w:rPr>
      </w:pPr>
    </w:p>
    <w:p w14:paraId="00000031"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Livestock</w:t>
      </w:r>
    </w:p>
    <w:p w14:paraId="00000032" w14:textId="77777777" w:rsidR="009D4CD1" w:rsidRDefault="009D4CD1">
      <w:pPr>
        <w:spacing w:after="0" w:line="240" w:lineRule="auto"/>
        <w:jc w:val="both"/>
        <w:rPr>
          <w:b/>
          <w:color w:val="000000"/>
        </w:rPr>
      </w:pPr>
    </w:p>
    <w:p w14:paraId="38EC0B6D" w14:textId="787A8840" w:rsidR="00E50672" w:rsidRPr="0005505B" w:rsidRDefault="00D908D5">
      <w:pPr>
        <w:spacing w:after="0" w:line="240" w:lineRule="auto"/>
        <w:jc w:val="both"/>
        <w:rPr>
          <w:color w:val="000000"/>
        </w:rPr>
      </w:pPr>
      <w:r>
        <w:rPr>
          <w:color w:val="000000"/>
        </w:rPr>
        <w:t xml:space="preserve">Intensive livestock activities should be excluded from the taxonomy. The industry is highly carbon-intensive, emissive, polluting, </w:t>
      </w:r>
      <w:r w:rsidR="007E5F5A">
        <w:rPr>
          <w:color w:val="000000"/>
        </w:rPr>
        <w:t xml:space="preserve">and </w:t>
      </w:r>
      <w:r>
        <w:rPr>
          <w:color w:val="000000"/>
        </w:rPr>
        <w:t>s</w:t>
      </w:r>
      <w:r w:rsidR="007E5F5A">
        <w:rPr>
          <w:color w:val="000000"/>
        </w:rPr>
        <w:t>trongly linked to deforestation. I</w:t>
      </w:r>
      <w:r>
        <w:rPr>
          <w:color w:val="000000"/>
        </w:rPr>
        <w:t>n addition, there are major animal welfare and human health concerns. It risks slowing down the transition to a more sustainable plant-based diet, as required in most Paris-compliant climate scenarios. Organic livestock could be an exception.</w:t>
      </w:r>
    </w:p>
    <w:p w14:paraId="527F1C01" w14:textId="77777777" w:rsidR="00E50672" w:rsidRDefault="00E50672">
      <w:pPr>
        <w:spacing w:after="0" w:line="240" w:lineRule="auto"/>
        <w:jc w:val="both"/>
        <w:rPr>
          <w:rFonts w:ascii="Times New Roman" w:eastAsia="Times New Roman" w:hAnsi="Times New Roman" w:cs="Times New Roman"/>
          <w:sz w:val="24"/>
          <w:szCs w:val="24"/>
        </w:rPr>
      </w:pPr>
    </w:p>
    <w:p w14:paraId="00000035"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Biofuels and biogas for transport</w:t>
      </w:r>
    </w:p>
    <w:p w14:paraId="0FC9F0B2" w14:textId="77777777" w:rsidR="0005505B" w:rsidRDefault="0005505B">
      <w:pPr>
        <w:spacing w:after="0" w:line="240" w:lineRule="auto"/>
        <w:jc w:val="both"/>
        <w:rPr>
          <w:b/>
          <w:color w:val="000000"/>
        </w:rPr>
      </w:pPr>
    </w:p>
    <w:p w14:paraId="00000037" w14:textId="77777777" w:rsidR="009D4CD1" w:rsidRDefault="00D908D5">
      <w:pPr>
        <w:spacing w:after="0" w:line="240" w:lineRule="auto"/>
        <w:jc w:val="both"/>
        <w:rPr>
          <w:color w:val="FF0000"/>
        </w:rPr>
      </w:pPr>
      <w:r>
        <w:rPr>
          <w:color w:val="000000"/>
        </w:rPr>
        <w:t>It is impossible to monitor whether a vehicle has only used biogas or biofuels. Trucks can currently run on biofuels such as hydrogenated vegetable oil (HVO) instead of diesel: they could easily use HVO one day and diesel the next. It would also be impossible to monitor whether a vehicle is running only on biogas, as all vehicles which can run on biogas can also run on fossil gas.</w:t>
      </w:r>
    </w:p>
    <w:p w14:paraId="00000038" w14:textId="77777777" w:rsidR="009D4CD1" w:rsidRDefault="009D4CD1">
      <w:pPr>
        <w:spacing w:after="0" w:line="240" w:lineRule="auto"/>
        <w:jc w:val="both"/>
        <w:rPr>
          <w:color w:val="000000"/>
        </w:rPr>
      </w:pPr>
    </w:p>
    <w:p w14:paraId="00000039" w14:textId="4C8F9645" w:rsidR="009D4CD1" w:rsidRDefault="00D908D5">
      <w:pPr>
        <w:spacing w:after="0" w:line="240" w:lineRule="auto"/>
        <w:jc w:val="both"/>
        <w:rPr>
          <w:color w:val="000000"/>
        </w:rPr>
      </w:pPr>
      <w:r>
        <w:rPr>
          <w:color w:val="000000"/>
        </w:rPr>
        <w:t>These are significant weaknesses. We therefore urge the TEG to remove the explicit inclusion of biofuels for trucks, coaches, and ships as well as</w:t>
      </w:r>
      <w:r w:rsidR="007E5F5A">
        <w:rPr>
          <w:color w:val="000000"/>
        </w:rPr>
        <w:t xml:space="preserve"> the related infrastructure, </w:t>
      </w:r>
      <w:r>
        <w:rPr>
          <w:color w:val="000000"/>
        </w:rPr>
        <w:t xml:space="preserve">as it cannot be traced precisely along the supply chain. </w:t>
      </w:r>
    </w:p>
    <w:p w14:paraId="7162302C" w14:textId="77777777" w:rsidR="00E50672" w:rsidRDefault="00E50672">
      <w:pPr>
        <w:spacing w:after="0" w:line="240" w:lineRule="auto"/>
        <w:jc w:val="both"/>
        <w:rPr>
          <w:color w:val="000000"/>
        </w:rPr>
      </w:pPr>
    </w:p>
    <w:p w14:paraId="0000003A"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Fossil fuel vehicles and vessels</w:t>
      </w:r>
    </w:p>
    <w:p w14:paraId="0000003B" w14:textId="77777777" w:rsidR="009D4CD1" w:rsidRDefault="009D4CD1">
      <w:pPr>
        <w:spacing w:after="0" w:line="240" w:lineRule="auto"/>
        <w:jc w:val="both"/>
        <w:rPr>
          <w:color w:val="000000"/>
        </w:rPr>
      </w:pPr>
    </w:p>
    <w:p w14:paraId="0000003C" w14:textId="41A0C4DF" w:rsidR="009D4CD1" w:rsidRDefault="00D908D5">
      <w:pPr>
        <w:spacing w:after="0" w:line="240" w:lineRule="auto"/>
        <w:jc w:val="both"/>
        <w:rPr>
          <w:color w:val="000000"/>
        </w:rPr>
      </w:pPr>
      <w:r>
        <w:rPr>
          <w:color w:val="000000"/>
        </w:rPr>
        <w:t>Transport represents a massive 27%</w:t>
      </w:r>
      <w:r w:rsidR="00C279EA">
        <w:rPr>
          <w:color w:val="000000"/>
        </w:rPr>
        <w:t xml:space="preserve"> of EU greenhouse gas emissions:</w:t>
      </w:r>
      <w:r>
        <w:rPr>
          <w:color w:val="000000"/>
        </w:rPr>
        <w:t xml:space="preserve"> the sector will need to be decarbonised rapidly to achieve our Paris climate targets. However, fossil fuel vehicles could satisfy the current TEG criteria. The thresholds should be improved to ensure that fossil fuel (including gas) vehicles and vessels are not promoted in the taxonomy. </w:t>
      </w:r>
    </w:p>
    <w:p w14:paraId="0000003D" w14:textId="77777777" w:rsidR="009D4CD1" w:rsidRDefault="009D4CD1">
      <w:pPr>
        <w:spacing w:after="0" w:line="240" w:lineRule="auto"/>
        <w:jc w:val="both"/>
        <w:rPr>
          <w:color w:val="000000"/>
        </w:rPr>
      </w:pPr>
    </w:p>
    <w:p w14:paraId="0000003F" w14:textId="1154926A" w:rsidR="009D4CD1" w:rsidRDefault="00D908D5" w:rsidP="00EB4A41">
      <w:pPr>
        <w:spacing w:after="0" w:line="240" w:lineRule="auto"/>
        <w:jc w:val="both"/>
        <w:rPr>
          <w:rFonts w:ascii="Times New Roman" w:eastAsia="Times New Roman" w:hAnsi="Times New Roman" w:cs="Times New Roman"/>
          <w:sz w:val="24"/>
          <w:szCs w:val="24"/>
        </w:rPr>
      </w:pPr>
      <w:r>
        <w:rPr>
          <w:color w:val="000000"/>
        </w:rPr>
        <w:t xml:space="preserve">The taxonomy should </w:t>
      </w:r>
      <w:r>
        <w:rPr>
          <w:i/>
          <w:color w:val="000000"/>
        </w:rPr>
        <w:t>only</w:t>
      </w:r>
      <w:r>
        <w:rPr>
          <w:color w:val="000000"/>
        </w:rPr>
        <w:t xml:space="preserve"> promote investment in Paris-aligned transp</w:t>
      </w:r>
      <w:r w:rsidR="00EB4A41">
        <w:rPr>
          <w:color w:val="000000"/>
        </w:rPr>
        <w:t>ort.</w:t>
      </w:r>
    </w:p>
    <w:p w14:paraId="68EF5341" w14:textId="77777777" w:rsidR="00EB4A41" w:rsidRDefault="00EB4A41">
      <w:pPr>
        <w:spacing w:after="0" w:line="240" w:lineRule="auto"/>
        <w:jc w:val="both"/>
        <w:rPr>
          <w:b/>
          <w:color w:val="000000"/>
          <w:sz w:val="28"/>
          <w:szCs w:val="28"/>
        </w:rPr>
      </w:pPr>
    </w:p>
    <w:p w14:paraId="7D94D00C" w14:textId="77777777" w:rsidR="0005505B" w:rsidRDefault="0005505B">
      <w:pPr>
        <w:spacing w:after="0" w:line="240" w:lineRule="auto"/>
        <w:jc w:val="both"/>
        <w:rPr>
          <w:b/>
          <w:color w:val="000000"/>
          <w:sz w:val="28"/>
          <w:szCs w:val="28"/>
        </w:rPr>
      </w:pPr>
    </w:p>
    <w:p w14:paraId="00000041" w14:textId="50FE6241" w:rsidR="009D4CD1" w:rsidRDefault="00D908D5">
      <w:pPr>
        <w:spacing w:after="0" w:line="240" w:lineRule="auto"/>
        <w:jc w:val="both"/>
        <w:rPr>
          <w:rFonts w:ascii="Times New Roman" w:eastAsia="Times New Roman" w:hAnsi="Times New Roman" w:cs="Times New Roman"/>
          <w:sz w:val="24"/>
          <w:szCs w:val="24"/>
        </w:rPr>
      </w:pPr>
      <w:r>
        <w:rPr>
          <w:b/>
          <w:color w:val="000000"/>
          <w:sz w:val="28"/>
          <w:szCs w:val="28"/>
        </w:rPr>
        <w:t>C. Economic activities that were rightly excluded and should not be reincluded</w:t>
      </w:r>
    </w:p>
    <w:p w14:paraId="00000042" w14:textId="77777777" w:rsidR="009D4CD1" w:rsidRDefault="009D4CD1">
      <w:pPr>
        <w:spacing w:after="0" w:line="240" w:lineRule="auto"/>
        <w:jc w:val="both"/>
        <w:rPr>
          <w:rFonts w:ascii="Times New Roman" w:eastAsia="Times New Roman" w:hAnsi="Times New Roman" w:cs="Times New Roman"/>
          <w:sz w:val="24"/>
          <w:szCs w:val="24"/>
        </w:rPr>
      </w:pPr>
    </w:p>
    <w:p w14:paraId="00000043"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Nuclear power</w:t>
      </w:r>
    </w:p>
    <w:p w14:paraId="00000044" w14:textId="77777777" w:rsidR="009D4CD1" w:rsidRDefault="009D4CD1">
      <w:pPr>
        <w:spacing w:after="0" w:line="240" w:lineRule="auto"/>
        <w:jc w:val="both"/>
        <w:rPr>
          <w:b/>
          <w:color w:val="000000"/>
        </w:rPr>
      </w:pPr>
    </w:p>
    <w:p w14:paraId="2D1EA92A" w14:textId="77777777" w:rsidR="0005505B" w:rsidRDefault="00D908D5">
      <w:pPr>
        <w:spacing w:after="0" w:line="240" w:lineRule="auto"/>
        <w:jc w:val="both"/>
        <w:rPr>
          <w:color w:val="000000"/>
        </w:rPr>
      </w:pPr>
      <w:r>
        <w:rPr>
          <w:color w:val="000000"/>
        </w:rPr>
        <w:t>Nuclear power was rightly excluded by the TEG as the waste from nuclear fission causes dangerous pollution – thus significantly harming the taxonomy’s pollution objective. The TEG was therefore correct in its assessment that nuclear power is unsustainable and it should retain that assessment.</w:t>
      </w:r>
      <w:r w:rsidR="0005505B">
        <w:rPr>
          <w:color w:val="000000"/>
        </w:rPr>
        <w:t xml:space="preserve"> </w:t>
      </w:r>
    </w:p>
    <w:p w14:paraId="6AEE25B5" w14:textId="77777777" w:rsidR="0005505B" w:rsidRDefault="0005505B">
      <w:pPr>
        <w:spacing w:after="0" w:line="240" w:lineRule="auto"/>
        <w:jc w:val="both"/>
        <w:rPr>
          <w:color w:val="000000"/>
        </w:rPr>
      </w:pPr>
    </w:p>
    <w:p w14:paraId="00000047" w14:textId="0C4C6C94" w:rsidR="009D4CD1" w:rsidRDefault="00D908D5">
      <w:pPr>
        <w:spacing w:after="0" w:line="240" w:lineRule="auto"/>
        <w:jc w:val="both"/>
        <w:rPr>
          <w:color w:val="000000"/>
        </w:rPr>
      </w:pPr>
      <w:r>
        <w:rPr>
          <w:color w:val="000000"/>
        </w:rPr>
        <w:t xml:space="preserve">Nuclear power is also responsible for some of the worst man-made disasters in recent times. </w:t>
      </w:r>
    </w:p>
    <w:p w14:paraId="00000049" w14:textId="77777777" w:rsidR="009D4CD1" w:rsidRDefault="009D4CD1">
      <w:pPr>
        <w:spacing w:after="0" w:line="240" w:lineRule="auto"/>
        <w:jc w:val="both"/>
        <w:rPr>
          <w:rFonts w:ascii="Times New Roman" w:eastAsia="Times New Roman" w:hAnsi="Times New Roman" w:cs="Times New Roman"/>
          <w:sz w:val="24"/>
          <w:szCs w:val="24"/>
        </w:rPr>
      </w:pPr>
    </w:p>
    <w:p w14:paraId="0000004A"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Fossil fuels (including gas)</w:t>
      </w:r>
    </w:p>
    <w:p w14:paraId="0000004B" w14:textId="77777777" w:rsidR="009D4CD1" w:rsidRDefault="009D4CD1">
      <w:pPr>
        <w:spacing w:after="0" w:line="240" w:lineRule="auto"/>
        <w:jc w:val="both"/>
        <w:rPr>
          <w:color w:val="000000"/>
        </w:rPr>
      </w:pPr>
    </w:p>
    <w:p w14:paraId="0000004C" w14:textId="230F3F01" w:rsidR="009D4CD1" w:rsidRDefault="00D908D5">
      <w:pPr>
        <w:spacing w:after="0" w:line="240" w:lineRule="auto"/>
        <w:jc w:val="both"/>
        <w:rPr>
          <w:color w:val="000000"/>
        </w:rPr>
      </w:pPr>
      <w:r>
        <w:rPr>
          <w:color w:val="000000"/>
        </w:rPr>
        <w:t xml:space="preserve">Fossil fuels clearly operate on emissions that are far beyond the 100 gCO2/KWh threshold identified by the TEG. </w:t>
      </w:r>
    </w:p>
    <w:p w14:paraId="0000004D" w14:textId="77777777" w:rsidR="009D4CD1" w:rsidRDefault="009D4CD1">
      <w:pPr>
        <w:spacing w:after="0" w:line="240" w:lineRule="auto"/>
        <w:jc w:val="both"/>
        <w:rPr>
          <w:color w:val="000000"/>
        </w:rPr>
      </w:pPr>
    </w:p>
    <w:p w14:paraId="0000004E" w14:textId="10A7BDB0" w:rsidR="009D4CD1" w:rsidRDefault="00D908D5">
      <w:pPr>
        <w:spacing w:after="0" w:line="240" w:lineRule="auto"/>
        <w:jc w:val="both"/>
        <w:rPr>
          <w:color w:val="000000"/>
        </w:rPr>
      </w:pPr>
      <w:r>
        <w:rPr>
          <w:color w:val="000000"/>
        </w:rPr>
        <w:t xml:space="preserve">The TEG’s threshold is a timely, science-based reminder of how much we need to decarbonise our power sources to meet the Paris Agreement – and how </w:t>
      </w:r>
      <w:r w:rsidR="00C279EA">
        <w:rPr>
          <w:color w:val="000000"/>
        </w:rPr>
        <w:t xml:space="preserve">far </w:t>
      </w:r>
      <w:r>
        <w:rPr>
          <w:color w:val="000000"/>
        </w:rPr>
        <w:t xml:space="preserve">we are from that today. </w:t>
      </w:r>
      <w:r w:rsidR="00E50672">
        <w:rPr>
          <w:color w:val="000000"/>
        </w:rPr>
        <w:t xml:space="preserve">Indeed, </w:t>
      </w:r>
      <w:r w:rsidR="00C279EA">
        <w:rPr>
          <w:color w:val="000000"/>
        </w:rPr>
        <w:t>100 gCO2/KWh</w:t>
      </w:r>
      <w:r w:rsidR="00E50672">
        <w:rPr>
          <w:color w:val="000000"/>
        </w:rPr>
        <w:t xml:space="preserve"> is </w:t>
      </w:r>
      <w:r w:rsidR="00C279EA">
        <w:rPr>
          <w:color w:val="000000"/>
        </w:rPr>
        <w:t xml:space="preserve">still </w:t>
      </w:r>
      <w:r w:rsidR="00E50672">
        <w:rPr>
          <w:color w:val="000000"/>
        </w:rPr>
        <w:t>too high for most renewables, which operate at a median value of under 50 gCO2/KWh.</w:t>
      </w:r>
    </w:p>
    <w:p w14:paraId="0000004F" w14:textId="77777777" w:rsidR="009D4CD1" w:rsidRDefault="009D4CD1">
      <w:pPr>
        <w:spacing w:after="0" w:line="240" w:lineRule="auto"/>
        <w:jc w:val="both"/>
        <w:rPr>
          <w:color w:val="000000"/>
        </w:rPr>
      </w:pPr>
    </w:p>
    <w:p w14:paraId="00000051" w14:textId="2C489B4C" w:rsidR="009D4CD1" w:rsidRDefault="00D908D5">
      <w:pPr>
        <w:spacing w:after="0" w:line="240" w:lineRule="auto"/>
        <w:jc w:val="both"/>
        <w:rPr>
          <w:color w:val="000000"/>
        </w:rPr>
      </w:pPr>
      <w:r>
        <w:rPr>
          <w:color w:val="000000"/>
        </w:rPr>
        <w:t>The European Investment Bank has just excluded fossil fuel lending from its draft Energy Lending Policy, thus making itself a world leader. Similarly, the taxonomy should aim to set this world first.</w:t>
      </w:r>
    </w:p>
    <w:p w14:paraId="00000052" w14:textId="77777777" w:rsidR="009D4CD1" w:rsidRDefault="009D4CD1">
      <w:pPr>
        <w:pBdr>
          <w:top w:val="nil"/>
          <w:left w:val="nil"/>
          <w:bottom w:val="nil"/>
          <w:right w:val="nil"/>
          <w:between w:val="nil"/>
        </w:pBdr>
        <w:spacing w:after="0" w:line="240" w:lineRule="auto"/>
        <w:ind w:left="720" w:hanging="720"/>
        <w:jc w:val="both"/>
        <w:rPr>
          <w:b/>
          <w:color w:val="000000"/>
        </w:rPr>
      </w:pPr>
    </w:p>
    <w:p w14:paraId="00000053"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Incineration</w:t>
      </w:r>
    </w:p>
    <w:p w14:paraId="00000054" w14:textId="77777777" w:rsidR="009D4CD1" w:rsidRDefault="009D4CD1">
      <w:pPr>
        <w:spacing w:after="0" w:line="240" w:lineRule="auto"/>
        <w:jc w:val="both"/>
        <w:rPr>
          <w:color w:val="000000"/>
        </w:rPr>
      </w:pPr>
    </w:p>
    <w:p w14:paraId="00000055" w14:textId="256F476D" w:rsidR="009D4CD1" w:rsidRDefault="007E5F5A">
      <w:pPr>
        <w:spacing w:after="0" w:line="240" w:lineRule="auto"/>
        <w:jc w:val="both"/>
        <w:rPr>
          <w:color w:val="000000"/>
        </w:rPr>
      </w:pPr>
      <w:r>
        <w:rPr>
          <w:color w:val="000000"/>
        </w:rPr>
        <w:t>Waste i</w:t>
      </w:r>
      <w:r w:rsidR="00D908D5">
        <w:rPr>
          <w:color w:val="000000"/>
        </w:rPr>
        <w:t>ncineration undermines upper-tier ac</w:t>
      </w:r>
      <w:r>
        <w:rPr>
          <w:color w:val="000000"/>
        </w:rPr>
        <w:t>tivities of the waste hierarchy</w:t>
      </w:r>
      <w:r w:rsidR="00D908D5">
        <w:rPr>
          <w:color w:val="000000"/>
        </w:rPr>
        <w:t xml:space="preserve"> which are more protective of the climate. </w:t>
      </w:r>
      <w:r>
        <w:rPr>
          <w:color w:val="000000"/>
        </w:rPr>
        <w:t>Many</w:t>
      </w:r>
      <w:r w:rsidR="00D908D5">
        <w:rPr>
          <w:color w:val="000000"/>
        </w:rPr>
        <w:t xml:space="preserve"> reports have recognised that much of what is currently used as incinerator feedstock could be recycled or composted. While the TEG has rightly excluded incineration per se, it </w:t>
      </w:r>
      <w:r>
        <w:rPr>
          <w:color w:val="000000"/>
        </w:rPr>
        <w:t xml:space="preserve">should </w:t>
      </w:r>
      <w:r w:rsidR="00D908D5">
        <w:rPr>
          <w:color w:val="000000"/>
        </w:rPr>
        <w:t>also close the remaining loopholes which allow the use of refuse-derived fuel e</w:t>
      </w:r>
      <w:r w:rsidR="00B4684A">
        <w:rPr>
          <w:color w:val="000000"/>
        </w:rPr>
        <w:t>.</w:t>
      </w:r>
      <w:r w:rsidR="00D908D5">
        <w:rPr>
          <w:color w:val="000000"/>
        </w:rPr>
        <w:t>g. cement production.</w:t>
      </w:r>
    </w:p>
    <w:p w14:paraId="4DE0E8F9" w14:textId="77777777" w:rsidR="002908BF" w:rsidRDefault="002908BF">
      <w:pPr>
        <w:rPr>
          <w:color w:val="000000"/>
          <w:u w:val="single"/>
        </w:rPr>
      </w:pPr>
      <w:bookmarkStart w:id="0" w:name="_gjdgxs" w:colFirst="0" w:colLast="0"/>
      <w:bookmarkEnd w:id="0"/>
    </w:p>
    <w:p w14:paraId="1F39A840" w14:textId="77777777" w:rsidR="00EE7170" w:rsidRDefault="00EE7170">
      <w:pPr>
        <w:rPr>
          <w:color w:val="000000"/>
          <w:u w:val="single"/>
        </w:rPr>
      </w:pPr>
      <w:r>
        <w:rPr>
          <w:color w:val="000000"/>
          <w:u w:val="single"/>
        </w:rPr>
        <w:br w:type="page"/>
      </w:r>
    </w:p>
    <w:p w14:paraId="00000057" w14:textId="28249A21" w:rsidR="009D4CD1" w:rsidRPr="007E5F5A" w:rsidRDefault="00D908D5">
      <w:pPr>
        <w:rPr>
          <w:color w:val="000000"/>
        </w:rPr>
      </w:pPr>
      <w:r>
        <w:rPr>
          <w:color w:val="000000"/>
          <w:u w:val="single"/>
        </w:rPr>
        <w:lastRenderedPageBreak/>
        <w:t>Supported by</w:t>
      </w:r>
    </w:p>
    <w:p w14:paraId="00000058" w14:textId="77777777" w:rsidR="009D4CD1" w:rsidRDefault="009D4CD1">
      <w:pPr>
        <w:spacing w:after="0" w:line="240" w:lineRule="auto"/>
        <w:ind w:hanging="710"/>
        <w:jc w:val="both"/>
        <w:rPr>
          <w:color w:val="000000"/>
          <w:u w:val="single"/>
        </w:rPr>
      </w:pPr>
    </w:p>
    <w:p w14:paraId="00000059" w14:textId="77777777" w:rsidR="009D4CD1" w:rsidRDefault="00D908D5">
      <w:pPr>
        <w:spacing w:after="0" w:line="240" w:lineRule="auto"/>
        <w:ind w:hanging="710"/>
        <w:jc w:val="both"/>
        <w:rPr>
          <w:color w:val="000000"/>
        </w:rPr>
      </w:pPr>
      <w:r>
        <w:rPr>
          <w:b/>
          <w:color w:val="000000"/>
        </w:rPr>
        <w:t>Sebastien Godinot</w:t>
      </w:r>
      <w:r>
        <w:rPr>
          <w:color w:val="000000"/>
        </w:rPr>
        <w:t xml:space="preserve">, </w:t>
      </w:r>
      <w:r w:rsidRPr="00EE7170">
        <w:rPr>
          <w:i/>
          <w:color w:val="000000"/>
        </w:rPr>
        <w:t>Economist</w:t>
      </w:r>
      <w:r>
        <w:rPr>
          <w:color w:val="000000"/>
        </w:rPr>
        <w:t>, WWF European Policy Office</w:t>
      </w:r>
    </w:p>
    <w:p w14:paraId="01F864F0" w14:textId="69666182" w:rsidR="00EE7170" w:rsidRDefault="00D908D5" w:rsidP="00EE7170">
      <w:pPr>
        <w:spacing w:after="0" w:line="240" w:lineRule="auto"/>
        <w:ind w:hanging="710"/>
        <w:jc w:val="both"/>
        <w:rPr>
          <w:color w:val="000000"/>
        </w:rPr>
      </w:pPr>
      <w:r>
        <w:rPr>
          <w:b/>
          <w:color w:val="000000"/>
        </w:rPr>
        <w:t xml:space="preserve">Konstantinos Tsilimekis, </w:t>
      </w:r>
      <w:r w:rsidRPr="00EE7170">
        <w:rPr>
          <w:i/>
          <w:color w:val="000000"/>
        </w:rPr>
        <w:t>Director</w:t>
      </w:r>
      <w:r>
        <w:rPr>
          <w:color w:val="000000"/>
        </w:rPr>
        <w:t>, Albert Schweitzer Foundation</w:t>
      </w:r>
    </w:p>
    <w:p w14:paraId="17B79584" w14:textId="1394054A" w:rsidR="00EE7170" w:rsidRDefault="00EE7170" w:rsidP="00EE7170">
      <w:pPr>
        <w:spacing w:after="0" w:line="240" w:lineRule="auto"/>
        <w:ind w:hanging="710"/>
        <w:jc w:val="both"/>
        <w:rPr>
          <w:color w:val="000000"/>
        </w:rPr>
      </w:pPr>
      <w:r w:rsidRPr="00EE7170">
        <w:rPr>
          <w:b/>
          <w:color w:val="222222"/>
          <w:shd w:val="clear" w:color="auto" w:fill="FFFFFF"/>
        </w:rPr>
        <w:t>Wolfgang Kuhlmann</w:t>
      </w:r>
      <w:r>
        <w:rPr>
          <w:color w:val="222222"/>
          <w:shd w:val="clear" w:color="auto" w:fill="FFFFFF"/>
        </w:rPr>
        <w:t xml:space="preserve">, </w:t>
      </w:r>
      <w:r w:rsidRPr="00EE7170">
        <w:rPr>
          <w:i/>
          <w:color w:val="222222"/>
          <w:shd w:val="clear" w:color="auto" w:fill="FFFFFF"/>
        </w:rPr>
        <w:t>Director</w:t>
      </w:r>
      <w:r>
        <w:rPr>
          <w:color w:val="222222"/>
          <w:shd w:val="clear" w:color="auto" w:fill="FFFFFF"/>
        </w:rPr>
        <w:t>, Arbeitsgemeinschaft Regenwald und Artenschutz (ARA)</w:t>
      </w:r>
      <w:bookmarkStart w:id="1" w:name="_GoBack"/>
      <w:bookmarkEnd w:id="1"/>
    </w:p>
    <w:sectPr w:rsidR="00EE717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63DB6" w14:textId="77777777" w:rsidR="00751AE7" w:rsidRDefault="00751AE7">
      <w:pPr>
        <w:spacing w:after="0" w:line="240" w:lineRule="auto"/>
      </w:pPr>
      <w:r>
        <w:separator/>
      </w:r>
    </w:p>
  </w:endnote>
  <w:endnote w:type="continuationSeparator" w:id="0">
    <w:p w14:paraId="2109E89A" w14:textId="77777777" w:rsidR="00751AE7" w:rsidRDefault="0075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991B1" w14:textId="77777777" w:rsidR="00751AE7" w:rsidRDefault="00751AE7">
      <w:pPr>
        <w:spacing w:after="0" w:line="240" w:lineRule="auto"/>
      </w:pPr>
      <w:r>
        <w:separator/>
      </w:r>
    </w:p>
  </w:footnote>
  <w:footnote w:type="continuationSeparator" w:id="0">
    <w:p w14:paraId="7B39585B" w14:textId="77777777" w:rsidR="00751AE7" w:rsidRDefault="00751A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6EE9"/>
    <w:multiLevelType w:val="multilevel"/>
    <w:tmpl w:val="44EEE4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D1"/>
    <w:rsid w:val="0005505B"/>
    <w:rsid w:val="000B5621"/>
    <w:rsid w:val="002908BF"/>
    <w:rsid w:val="003C3620"/>
    <w:rsid w:val="00414473"/>
    <w:rsid w:val="00501B6B"/>
    <w:rsid w:val="005D30FC"/>
    <w:rsid w:val="006C4340"/>
    <w:rsid w:val="006C62D0"/>
    <w:rsid w:val="00751AE7"/>
    <w:rsid w:val="007E5511"/>
    <w:rsid w:val="007E5F5A"/>
    <w:rsid w:val="009067C5"/>
    <w:rsid w:val="00924FB5"/>
    <w:rsid w:val="009D4CD1"/>
    <w:rsid w:val="009E5BC6"/>
    <w:rsid w:val="00B4684A"/>
    <w:rsid w:val="00C279EA"/>
    <w:rsid w:val="00C56DC7"/>
    <w:rsid w:val="00CD6D0C"/>
    <w:rsid w:val="00CE4000"/>
    <w:rsid w:val="00CF001D"/>
    <w:rsid w:val="00D114C1"/>
    <w:rsid w:val="00D53273"/>
    <w:rsid w:val="00D908D5"/>
    <w:rsid w:val="00E50672"/>
    <w:rsid w:val="00E87213"/>
    <w:rsid w:val="00EB4A41"/>
    <w:rsid w:val="00EE7170"/>
    <w:rsid w:val="00F11768"/>
    <w:rsid w:val="00F8402F"/>
    <w:rsid w:val="00FF482B"/>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05086-8F8A-4F93-B972-32ADF35F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C6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D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C62D0"/>
    <w:rPr>
      <w:b/>
      <w:bCs/>
    </w:rPr>
  </w:style>
  <w:style w:type="character" w:customStyle="1" w:styleId="CommentSubjectChar">
    <w:name w:val="Comment Subject Char"/>
    <w:basedOn w:val="CommentTextChar"/>
    <w:link w:val="CommentSubject"/>
    <w:uiPriority w:val="99"/>
    <w:semiHidden/>
    <w:rsid w:val="006C62D0"/>
    <w:rPr>
      <w:b/>
      <w:bCs/>
      <w:sz w:val="20"/>
      <w:szCs w:val="20"/>
    </w:rPr>
  </w:style>
  <w:style w:type="paragraph" w:styleId="ListParagraph">
    <w:name w:val="List Paragraph"/>
    <w:basedOn w:val="Normal"/>
    <w:uiPriority w:val="34"/>
    <w:qFormat/>
    <w:rsid w:val="00F11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WWF</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Eviston</dc:creator>
  <cp:lastModifiedBy>Henry Eviston</cp:lastModifiedBy>
  <cp:revision>2</cp:revision>
  <cp:lastPrinted>2019-09-11T09:12:00Z</cp:lastPrinted>
  <dcterms:created xsi:type="dcterms:W3CDTF">2019-09-11T11:45:00Z</dcterms:created>
  <dcterms:modified xsi:type="dcterms:W3CDTF">2019-09-11T11:45:00Z</dcterms:modified>
</cp:coreProperties>
</file>